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36A9F" w14:textId="77777777" w:rsidR="00E464A6" w:rsidRPr="009B7FA3" w:rsidRDefault="00E464A6" w:rsidP="009B7FA3">
      <w:pPr>
        <w:spacing w:before="120" w:after="120" w:line="276" w:lineRule="auto"/>
        <w:jc w:val="center"/>
        <w:rPr>
          <w:rFonts w:ascii="Arial Narrow" w:hAnsi="Arial Narrow" w:cs="Arial"/>
          <w:b/>
          <w:bCs/>
        </w:rPr>
      </w:pPr>
      <w:r w:rsidRPr="009B7FA3">
        <w:rPr>
          <w:rFonts w:ascii="Arial Narrow" w:hAnsi="Arial Narrow" w:cs="Arial"/>
          <w:b/>
          <w:bCs/>
        </w:rPr>
        <w:t>Acuerdo Nro. SENESCYT-2023-XXX</w:t>
      </w:r>
    </w:p>
    <w:p w14:paraId="5B6E2F86" w14:textId="77777777" w:rsidR="00E464A6" w:rsidRPr="009B7FA3" w:rsidRDefault="00E464A6" w:rsidP="009B7FA3">
      <w:pPr>
        <w:spacing w:before="120" w:after="120" w:line="276" w:lineRule="auto"/>
        <w:jc w:val="center"/>
        <w:rPr>
          <w:rFonts w:ascii="Arial Narrow" w:hAnsi="Arial Narrow" w:cs="Arial"/>
          <w:b/>
          <w:bCs/>
        </w:rPr>
      </w:pPr>
    </w:p>
    <w:p w14:paraId="5E6A5E1A" w14:textId="40D9B32C" w:rsidR="00C34855" w:rsidRDefault="00C34855" w:rsidP="009B7FA3">
      <w:pPr>
        <w:spacing w:before="120" w:after="120" w:line="276" w:lineRule="auto"/>
        <w:jc w:val="center"/>
        <w:rPr>
          <w:rFonts w:ascii="Arial Narrow" w:hAnsi="Arial Narrow" w:cs="Arial"/>
        </w:rPr>
      </w:pPr>
      <w:r>
        <w:rPr>
          <w:rFonts w:ascii="Arial Narrow" w:hAnsi="Arial Narrow" w:cs="Arial"/>
        </w:rPr>
        <w:t>CÉSAR AUGUSTO VÁSQUEZ MONCAYO</w:t>
      </w:r>
    </w:p>
    <w:p w14:paraId="101C34E7" w14:textId="0EDBA0E1" w:rsidR="00E464A6" w:rsidRPr="009B7FA3" w:rsidRDefault="009904F2" w:rsidP="009B7FA3">
      <w:pPr>
        <w:spacing w:before="120" w:after="120" w:line="276" w:lineRule="auto"/>
        <w:jc w:val="center"/>
        <w:rPr>
          <w:rFonts w:ascii="Arial Narrow" w:hAnsi="Arial Narrow" w:cs="Arial"/>
          <w:b/>
          <w:bCs/>
        </w:rPr>
      </w:pPr>
      <w:r>
        <w:rPr>
          <w:rFonts w:ascii="Arial Narrow" w:hAnsi="Arial Narrow" w:cs="Arial"/>
          <w:b/>
          <w:bCs/>
        </w:rPr>
        <w:t>SECRETARIO</w:t>
      </w:r>
      <w:r w:rsidR="00E464A6" w:rsidRPr="009B7FA3">
        <w:rPr>
          <w:rFonts w:ascii="Arial Narrow" w:hAnsi="Arial Narrow" w:cs="Arial"/>
          <w:b/>
          <w:bCs/>
        </w:rPr>
        <w:t xml:space="preserve"> DE EDUCACIÓN SUPERIOR,</w:t>
      </w:r>
    </w:p>
    <w:p w14:paraId="25262968" w14:textId="1AB7940F" w:rsidR="00E464A6" w:rsidRPr="009B7FA3" w:rsidRDefault="00E464A6" w:rsidP="009B7FA3">
      <w:pPr>
        <w:spacing w:before="120" w:after="120" w:line="276" w:lineRule="auto"/>
        <w:jc w:val="center"/>
        <w:rPr>
          <w:rFonts w:ascii="Arial Narrow" w:hAnsi="Arial Narrow" w:cs="Arial"/>
          <w:b/>
          <w:bCs/>
        </w:rPr>
      </w:pPr>
      <w:r w:rsidRPr="009B7FA3">
        <w:rPr>
          <w:rFonts w:ascii="Arial Narrow" w:hAnsi="Arial Narrow" w:cs="Arial"/>
          <w:b/>
          <w:bCs/>
        </w:rPr>
        <w:t>CIENCIA, TECNOLOGÍA E INNOVACIÓN</w:t>
      </w:r>
      <w:r w:rsidR="009904F2">
        <w:rPr>
          <w:rFonts w:ascii="Arial Narrow" w:hAnsi="Arial Narrow" w:cs="Arial"/>
          <w:b/>
          <w:bCs/>
        </w:rPr>
        <w:t xml:space="preserve"> (Encargado)</w:t>
      </w:r>
    </w:p>
    <w:p w14:paraId="440F4A0E" w14:textId="77777777" w:rsidR="00E464A6" w:rsidRPr="009B7FA3" w:rsidRDefault="00E464A6" w:rsidP="009B7FA3">
      <w:pPr>
        <w:spacing w:before="120" w:after="120" w:line="276" w:lineRule="auto"/>
        <w:jc w:val="both"/>
        <w:rPr>
          <w:rFonts w:ascii="Arial Narrow" w:hAnsi="Arial Narrow" w:cs="Arial"/>
          <w:b/>
          <w:bCs/>
        </w:rPr>
      </w:pPr>
    </w:p>
    <w:p w14:paraId="1998DBAC" w14:textId="77777777" w:rsidR="00E464A6" w:rsidRPr="009B7FA3" w:rsidRDefault="00E464A6" w:rsidP="009B7FA3">
      <w:pPr>
        <w:spacing w:before="120" w:after="120" w:line="276" w:lineRule="auto"/>
        <w:jc w:val="center"/>
        <w:rPr>
          <w:rFonts w:ascii="Arial Narrow" w:hAnsi="Arial Narrow" w:cs="Arial"/>
          <w:b/>
          <w:bCs/>
        </w:rPr>
      </w:pPr>
      <w:r w:rsidRPr="009B7FA3">
        <w:rPr>
          <w:rFonts w:ascii="Arial Narrow" w:hAnsi="Arial Narrow" w:cs="Arial"/>
          <w:b/>
          <w:bCs/>
        </w:rPr>
        <w:t>ACUERDA:</w:t>
      </w:r>
    </w:p>
    <w:p w14:paraId="18300E22" w14:textId="77777777" w:rsidR="00E464A6" w:rsidRPr="009B7FA3" w:rsidRDefault="00E464A6" w:rsidP="009B7FA3">
      <w:pPr>
        <w:spacing w:before="120" w:after="120" w:line="276" w:lineRule="auto"/>
        <w:jc w:val="both"/>
        <w:rPr>
          <w:rFonts w:ascii="Arial Narrow" w:hAnsi="Arial Narrow" w:cs="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649"/>
      </w:tblGrid>
      <w:tr w:rsidR="00E464A6" w:rsidRPr="009B7FA3" w14:paraId="24713666" w14:textId="77777777" w:rsidTr="00397014">
        <w:tc>
          <w:tcPr>
            <w:tcW w:w="846" w:type="dxa"/>
          </w:tcPr>
          <w:p w14:paraId="069AEE1F"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00ADBE7B" w14:textId="77777777" w:rsidR="00E464A6" w:rsidRPr="009B7FA3" w:rsidRDefault="00E464A6" w:rsidP="009B7FA3">
            <w:pPr>
              <w:spacing w:before="120" w:after="120" w:line="276" w:lineRule="auto"/>
              <w:jc w:val="both"/>
              <w:rPr>
                <w:rFonts w:ascii="Arial Narrow" w:hAnsi="Arial Narrow" w:cs="Arial"/>
                <w:sz w:val="24"/>
                <w:szCs w:val="24"/>
              </w:rPr>
            </w:pPr>
            <w:r w:rsidRPr="009B7FA3">
              <w:rPr>
                <w:rFonts w:ascii="Arial Narrow" w:hAnsi="Arial Narrow" w:cs="Arial"/>
                <w:sz w:val="24"/>
                <w:szCs w:val="24"/>
              </w:rPr>
              <w:t xml:space="preserve">el primer numeral del artículo 154 de la Constitución de la República del Ecuador, determina que a los ministros de Estado les corresponde: </w:t>
            </w:r>
            <w:r w:rsidRPr="009B7FA3">
              <w:rPr>
                <w:rFonts w:ascii="Arial Narrow" w:hAnsi="Arial Narrow" w:cs="Arial"/>
                <w:i/>
                <w:iCs/>
                <w:sz w:val="24"/>
                <w:szCs w:val="24"/>
              </w:rPr>
              <w:t>“Ejercer la rectoría de las políticas públicas del área a su cargo y expedir los acuerdos y resoluciones administrativas que requiera su gestión”</w:t>
            </w:r>
            <w:r w:rsidRPr="009B7FA3">
              <w:rPr>
                <w:rFonts w:ascii="Arial Narrow" w:hAnsi="Arial Narrow" w:cs="Arial"/>
                <w:sz w:val="24"/>
                <w:szCs w:val="24"/>
              </w:rPr>
              <w:t xml:space="preserve">; </w:t>
            </w:r>
          </w:p>
        </w:tc>
      </w:tr>
      <w:tr w:rsidR="00E464A6" w:rsidRPr="009B7FA3" w14:paraId="6DEACF13" w14:textId="77777777" w:rsidTr="00397014">
        <w:tc>
          <w:tcPr>
            <w:tcW w:w="846" w:type="dxa"/>
          </w:tcPr>
          <w:p w14:paraId="2640A5FF"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192CFCCC" w14:textId="77777777" w:rsidR="00E464A6" w:rsidRPr="009B7FA3" w:rsidRDefault="00E464A6" w:rsidP="009B7FA3">
            <w:pPr>
              <w:spacing w:before="120" w:after="120" w:line="276" w:lineRule="auto"/>
              <w:jc w:val="both"/>
              <w:rPr>
                <w:rFonts w:ascii="Arial Narrow" w:hAnsi="Arial Narrow" w:cs="Arial"/>
                <w:sz w:val="24"/>
                <w:szCs w:val="24"/>
              </w:rPr>
            </w:pPr>
            <w:proofErr w:type="gramStart"/>
            <w:r w:rsidRPr="009B7FA3">
              <w:rPr>
                <w:rFonts w:ascii="Arial Narrow" w:hAnsi="Arial Narrow" w:cs="Arial"/>
                <w:sz w:val="24"/>
                <w:szCs w:val="24"/>
              </w:rPr>
              <w:t>el</w:t>
            </w:r>
            <w:proofErr w:type="gramEnd"/>
            <w:r w:rsidRPr="009B7FA3">
              <w:rPr>
                <w:rFonts w:ascii="Arial Narrow" w:hAnsi="Arial Narrow" w:cs="Arial"/>
                <w:sz w:val="24"/>
                <w:szCs w:val="24"/>
              </w:rPr>
              <w:t xml:space="preserve"> artículo 226 de la Constitución de la República del Ecuador, señala que: </w:t>
            </w:r>
            <w:r w:rsidRPr="009B7FA3">
              <w:rPr>
                <w:rFonts w:ascii="Arial Narrow" w:hAnsi="Arial Narrow" w:cs="Arial"/>
                <w:i/>
                <w:iCs/>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tc>
      </w:tr>
      <w:tr w:rsidR="00E464A6" w:rsidRPr="009B7FA3" w14:paraId="07AA548C" w14:textId="77777777" w:rsidTr="00397014">
        <w:tc>
          <w:tcPr>
            <w:tcW w:w="846" w:type="dxa"/>
          </w:tcPr>
          <w:p w14:paraId="6416ED7F"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5EA1FE6C" w14:textId="77777777" w:rsidR="00E464A6" w:rsidRPr="009B7FA3" w:rsidRDefault="00E464A6" w:rsidP="009B7FA3">
            <w:pPr>
              <w:spacing w:before="120" w:after="120" w:line="276" w:lineRule="auto"/>
              <w:jc w:val="both"/>
              <w:rPr>
                <w:rFonts w:ascii="Arial Narrow" w:hAnsi="Arial Narrow" w:cs="Arial"/>
                <w:sz w:val="24"/>
                <w:szCs w:val="24"/>
              </w:rPr>
            </w:pPr>
            <w:proofErr w:type="gramStart"/>
            <w:r w:rsidRPr="009B7FA3">
              <w:rPr>
                <w:rFonts w:ascii="Arial Narrow" w:hAnsi="Arial Narrow" w:cs="Arial"/>
                <w:sz w:val="24"/>
                <w:szCs w:val="24"/>
              </w:rPr>
              <w:t>el</w:t>
            </w:r>
            <w:proofErr w:type="gramEnd"/>
            <w:r w:rsidRPr="009B7FA3">
              <w:rPr>
                <w:rFonts w:ascii="Arial Narrow" w:hAnsi="Arial Narrow" w:cs="Arial"/>
                <w:sz w:val="24"/>
                <w:szCs w:val="24"/>
              </w:rPr>
              <w:t xml:space="preserve"> artículo 227 de la Constitución de la República del Ecuador, prescribe: </w:t>
            </w:r>
            <w:r w:rsidRPr="009B7FA3">
              <w:rPr>
                <w:rFonts w:ascii="Arial Narrow" w:hAnsi="Arial Narrow" w:cs="Arial"/>
                <w:i/>
                <w:iCs/>
                <w:sz w:val="24"/>
                <w:szCs w:val="24"/>
              </w:rPr>
              <w:t>“(…) La administración pública constituye un servicio a la colectividad que se rige por los principios de eficacia, eficiencia, calidad, jerarquía, desconcentración, descentralización, coordinación, participación, planificación, transparencia y evaluación (…)”</w:t>
            </w:r>
            <w:r w:rsidRPr="009B7FA3">
              <w:rPr>
                <w:rFonts w:ascii="Arial Narrow" w:hAnsi="Arial Narrow" w:cs="Arial"/>
                <w:sz w:val="24"/>
                <w:szCs w:val="24"/>
              </w:rPr>
              <w:t>;</w:t>
            </w:r>
          </w:p>
        </w:tc>
      </w:tr>
      <w:tr w:rsidR="00E464A6" w:rsidRPr="009B7FA3" w14:paraId="0BB37DC7" w14:textId="77777777" w:rsidTr="00397014">
        <w:tc>
          <w:tcPr>
            <w:tcW w:w="846" w:type="dxa"/>
          </w:tcPr>
          <w:p w14:paraId="2C7A3423"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672EDBCF" w14:textId="77777777" w:rsidR="00E464A6" w:rsidRPr="009B7FA3" w:rsidRDefault="00E464A6" w:rsidP="009B7FA3">
            <w:pPr>
              <w:spacing w:before="120" w:after="120" w:line="276" w:lineRule="auto"/>
              <w:jc w:val="both"/>
              <w:rPr>
                <w:rFonts w:ascii="Arial Narrow" w:hAnsi="Arial Narrow" w:cs="Arial"/>
                <w:sz w:val="24"/>
                <w:szCs w:val="24"/>
              </w:rPr>
            </w:pPr>
            <w:proofErr w:type="gramStart"/>
            <w:r w:rsidRPr="009B7FA3">
              <w:rPr>
                <w:rFonts w:ascii="Arial Narrow" w:hAnsi="Arial Narrow" w:cs="Arial"/>
                <w:sz w:val="24"/>
                <w:szCs w:val="24"/>
              </w:rPr>
              <w:t>el</w:t>
            </w:r>
            <w:proofErr w:type="gramEnd"/>
            <w:r w:rsidRPr="009B7FA3">
              <w:rPr>
                <w:rFonts w:ascii="Arial Narrow" w:hAnsi="Arial Narrow" w:cs="Arial"/>
                <w:sz w:val="24"/>
                <w:szCs w:val="24"/>
              </w:rPr>
              <w:t xml:space="preserve"> artículo 182 de la Ley Orgánica de Educación Superior, publicada en el Registro Oficial Suplemento N° 298 de 12 de octubre de 2010, establece que: </w:t>
            </w:r>
            <w:r w:rsidRPr="009B7FA3">
              <w:rPr>
                <w:rFonts w:ascii="Arial Narrow" w:hAnsi="Arial Narrow" w:cs="Arial"/>
                <w:i/>
                <w:iCs/>
                <w:sz w:val="24"/>
                <w:szCs w:val="24"/>
              </w:rPr>
              <w:t>“La Secretaría Nacional de Educación Superior, Ciencia, Tecnología e Innovación, es el órgano que tiene por objeto ejercer la rectoría de la política pública de educación superior y coordinar acciones entre la Función Ejecutiva y las instituciones del Sistema de Educación Superior. Estará dirigida por el Secretario Nacional de Educación Superior, Ciencia, Tecnología e Innovación de Educación Superior, designado por el Presidente de la República”</w:t>
            </w:r>
            <w:r w:rsidRPr="009B7FA3">
              <w:rPr>
                <w:rFonts w:ascii="Arial Narrow" w:hAnsi="Arial Narrow" w:cs="Arial"/>
                <w:sz w:val="24"/>
                <w:szCs w:val="24"/>
              </w:rPr>
              <w:t>;</w:t>
            </w:r>
          </w:p>
        </w:tc>
      </w:tr>
      <w:tr w:rsidR="00E464A6" w:rsidRPr="009B7FA3" w14:paraId="054AB63A" w14:textId="77777777" w:rsidTr="00397014">
        <w:tc>
          <w:tcPr>
            <w:tcW w:w="846" w:type="dxa"/>
          </w:tcPr>
          <w:p w14:paraId="7FECEC25"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lastRenderedPageBreak/>
              <w:t>Que,</w:t>
            </w:r>
          </w:p>
        </w:tc>
        <w:tc>
          <w:tcPr>
            <w:tcW w:w="7649" w:type="dxa"/>
          </w:tcPr>
          <w:p w14:paraId="3F2C31C4" w14:textId="77777777" w:rsidR="00E464A6" w:rsidRPr="009B7FA3" w:rsidRDefault="00E464A6" w:rsidP="009B7FA3">
            <w:pPr>
              <w:spacing w:before="120" w:after="120" w:line="276" w:lineRule="auto"/>
              <w:jc w:val="both"/>
              <w:rPr>
                <w:rFonts w:ascii="Arial Narrow" w:hAnsi="Arial Narrow" w:cs="Arial"/>
                <w:i/>
                <w:iCs/>
                <w:sz w:val="24"/>
                <w:szCs w:val="24"/>
              </w:rPr>
            </w:pPr>
            <w:r w:rsidRPr="009B7FA3">
              <w:rPr>
                <w:rFonts w:ascii="Arial Narrow" w:hAnsi="Arial Narrow" w:cs="Arial"/>
                <w:sz w:val="24"/>
                <w:szCs w:val="24"/>
              </w:rPr>
              <w:t xml:space="preserve">el artículo 8, numeral 3 del Código Orgánico de la Economía Social de los Conocimientos, Creatividad e Innovación, determina: </w:t>
            </w:r>
            <w:r w:rsidRPr="009B7FA3">
              <w:rPr>
                <w:rFonts w:ascii="Arial Narrow" w:hAnsi="Arial Narrow" w:cs="Arial"/>
                <w:i/>
                <w:iCs/>
                <w:sz w:val="24"/>
                <w:szCs w:val="24"/>
              </w:rPr>
              <w:t>“Deberes y atribuciones de la entidad rectora del Sistema Nacional de Ciencia, Tecnología, Innovación y Saberes Ancestrales.- La entidad rectora del Sistema Nacional de Ciencia, Tecnología, Innovación y Saberes Ancestrales, tiene las siguientes atribuciones y deberes: (…)</w:t>
            </w:r>
          </w:p>
          <w:p w14:paraId="1D7DFC74" w14:textId="77777777" w:rsidR="00E464A6" w:rsidRPr="009B7FA3" w:rsidRDefault="00E464A6" w:rsidP="009B7FA3">
            <w:pPr>
              <w:spacing w:before="120" w:after="120" w:line="276" w:lineRule="auto"/>
              <w:jc w:val="both"/>
              <w:rPr>
                <w:rFonts w:ascii="Arial Narrow" w:hAnsi="Arial Narrow" w:cs="Arial"/>
                <w:i/>
                <w:iCs/>
                <w:sz w:val="24"/>
                <w:szCs w:val="24"/>
              </w:rPr>
            </w:pPr>
            <w:r w:rsidRPr="009B7FA3">
              <w:rPr>
                <w:rFonts w:ascii="Arial Narrow" w:hAnsi="Arial Narrow" w:cs="Arial"/>
                <w:i/>
                <w:iCs/>
                <w:sz w:val="24"/>
                <w:szCs w:val="24"/>
              </w:rPr>
              <w:t>3. Dictar las normas, manuales, instructivos, directrices y otros instrumentos de regulación que serán de cumplimiento obligatorio para todos los actores del Sistema;”</w:t>
            </w:r>
          </w:p>
        </w:tc>
      </w:tr>
      <w:tr w:rsidR="00E464A6" w:rsidRPr="009B7FA3" w14:paraId="4F617B8C" w14:textId="77777777" w:rsidTr="00397014">
        <w:tc>
          <w:tcPr>
            <w:tcW w:w="846" w:type="dxa"/>
          </w:tcPr>
          <w:p w14:paraId="1E3D7882"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3744D7DD" w14:textId="77777777" w:rsidR="00E464A6" w:rsidRPr="009B7FA3" w:rsidRDefault="00E464A6" w:rsidP="009B7FA3">
            <w:pPr>
              <w:spacing w:before="120" w:after="120" w:line="276" w:lineRule="auto"/>
              <w:jc w:val="both"/>
              <w:rPr>
                <w:rFonts w:ascii="Arial Narrow" w:hAnsi="Arial Narrow" w:cs="Arial"/>
                <w:i/>
                <w:iCs/>
                <w:sz w:val="24"/>
                <w:szCs w:val="24"/>
              </w:rPr>
            </w:pPr>
            <w:r w:rsidRPr="009B7FA3">
              <w:rPr>
                <w:rFonts w:ascii="Arial Narrow" w:hAnsi="Arial Narrow" w:cs="Arial"/>
                <w:sz w:val="24"/>
                <w:szCs w:val="24"/>
              </w:rPr>
              <w:t xml:space="preserve">el artículo 618 del Código Orgánico de la Economía Social de los Conocimientos, Creatividad e Innovación, señala: </w:t>
            </w:r>
            <w:r w:rsidRPr="009B7FA3">
              <w:rPr>
                <w:rFonts w:ascii="Arial Narrow" w:hAnsi="Arial Narrow" w:cs="Arial"/>
                <w:i/>
                <w:iCs/>
                <w:sz w:val="24"/>
                <w:szCs w:val="24"/>
              </w:rPr>
              <w:t xml:space="preserve">“Programas o proyectos de fomento de la innovación.- La Secretaría de Educación Superior, Ciencia, Tecnología e Innovación y otras instituciones públicas competentes crearán y gestionarán programas o proyectos, cuyos beneficiarios y partícipes serán personas naturales o jurídicas públicas o privadas, y cuyo objetivo es el fomento o financiamiento total o parcial a la innovación social, de conformidad con las necesidades y planificación nacionales. </w:t>
            </w:r>
          </w:p>
          <w:p w14:paraId="6719FB72" w14:textId="77777777" w:rsidR="00E464A6" w:rsidRPr="009B7FA3" w:rsidRDefault="00E464A6" w:rsidP="009B7FA3">
            <w:pPr>
              <w:spacing w:before="120" w:after="120" w:line="276" w:lineRule="auto"/>
              <w:jc w:val="both"/>
              <w:rPr>
                <w:rFonts w:ascii="Arial Narrow" w:hAnsi="Arial Narrow" w:cs="Arial"/>
                <w:i/>
                <w:iCs/>
                <w:sz w:val="24"/>
                <w:szCs w:val="24"/>
              </w:rPr>
            </w:pPr>
          </w:p>
          <w:p w14:paraId="6AD02D29" w14:textId="77777777" w:rsidR="00E464A6" w:rsidRPr="009B7FA3" w:rsidRDefault="00E464A6" w:rsidP="009B7FA3">
            <w:pPr>
              <w:spacing w:before="120" w:after="120" w:line="276" w:lineRule="auto"/>
              <w:jc w:val="both"/>
              <w:rPr>
                <w:rFonts w:ascii="Arial Narrow" w:hAnsi="Arial Narrow" w:cs="Arial"/>
                <w:sz w:val="24"/>
                <w:szCs w:val="24"/>
              </w:rPr>
            </w:pPr>
            <w:r w:rsidRPr="009B7FA3">
              <w:rPr>
                <w:rFonts w:ascii="Arial Narrow" w:hAnsi="Arial Narrow" w:cs="Arial"/>
                <w:i/>
                <w:iCs/>
                <w:sz w:val="24"/>
                <w:szCs w:val="24"/>
              </w:rPr>
              <w:t>Los criterios, mecanismos, áreas y rubros a ser financiados serán establecidos por la Secretaría de Educación Superior, Ciencia, Tecnología e Innovación a través de los reglamentos y las bases correspondientes, aplicables para cada programa de financiamiento (…)”</w:t>
            </w:r>
            <w:r w:rsidRPr="009B7FA3">
              <w:rPr>
                <w:rFonts w:ascii="Arial Narrow" w:hAnsi="Arial Narrow" w:cs="Arial"/>
                <w:sz w:val="24"/>
                <w:szCs w:val="24"/>
              </w:rPr>
              <w:t>;</w:t>
            </w:r>
          </w:p>
        </w:tc>
      </w:tr>
      <w:tr w:rsidR="00E464A6" w:rsidRPr="009B7FA3" w14:paraId="6A4202B2" w14:textId="77777777" w:rsidTr="00397014">
        <w:tc>
          <w:tcPr>
            <w:tcW w:w="846" w:type="dxa"/>
          </w:tcPr>
          <w:p w14:paraId="69CD9B39"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0FC8D318" w14:textId="77777777" w:rsidR="00E464A6" w:rsidRPr="009B7FA3" w:rsidRDefault="00E464A6" w:rsidP="009B7FA3">
            <w:pPr>
              <w:spacing w:before="120" w:after="120" w:line="276" w:lineRule="auto"/>
              <w:jc w:val="both"/>
              <w:rPr>
                <w:rFonts w:ascii="Arial Narrow" w:hAnsi="Arial Narrow" w:cs="Arial"/>
                <w:i/>
                <w:iCs/>
                <w:sz w:val="24"/>
                <w:szCs w:val="24"/>
              </w:rPr>
            </w:pPr>
            <w:r w:rsidRPr="009B7FA3">
              <w:rPr>
                <w:rFonts w:ascii="Arial Narrow" w:hAnsi="Arial Narrow" w:cs="Arial"/>
                <w:sz w:val="24"/>
                <w:szCs w:val="24"/>
              </w:rPr>
              <w:t xml:space="preserve">el artículo 622 del referido Código, contempla: </w:t>
            </w:r>
            <w:r w:rsidRPr="009B7FA3">
              <w:rPr>
                <w:rFonts w:ascii="Arial Narrow" w:hAnsi="Arial Narrow" w:cs="Arial"/>
                <w:i/>
                <w:iCs/>
                <w:sz w:val="24"/>
                <w:szCs w:val="24"/>
              </w:rPr>
              <w:t>“Regulación de los incentivos financieros para la innovación social.- La Secretaría de Educación Superior, Ciencia, Tecnología e Innovación y los demás organismos públicos, dentro del ámbito de sus atribuciones, emitirán los instrumentos técnicos y jurídicos que establezcan las condiciones apropiadas para el efectivo uso de los recursos entregados en razón de incentivos financieros para la innovación social, respetando los derechos de los inversionistas e innovadores.</w:t>
            </w:r>
          </w:p>
          <w:p w14:paraId="2656FD16" w14:textId="77777777" w:rsidR="00E464A6" w:rsidRPr="009B7FA3" w:rsidRDefault="00E464A6" w:rsidP="009B7FA3">
            <w:pPr>
              <w:spacing w:before="120" w:after="120" w:line="276" w:lineRule="auto"/>
              <w:jc w:val="both"/>
              <w:rPr>
                <w:rFonts w:ascii="Arial Narrow" w:hAnsi="Arial Narrow" w:cs="Arial"/>
                <w:i/>
                <w:iCs/>
                <w:sz w:val="24"/>
                <w:szCs w:val="24"/>
              </w:rPr>
            </w:pPr>
          </w:p>
          <w:p w14:paraId="723805C3" w14:textId="77777777" w:rsidR="00E464A6" w:rsidRPr="009B7FA3" w:rsidRDefault="00E464A6" w:rsidP="009B7FA3">
            <w:pPr>
              <w:spacing w:before="120" w:after="120" w:line="276" w:lineRule="auto"/>
              <w:jc w:val="both"/>
              <w:rPr>
                <w:rFonts w:ascii="Arial Narrow" w:hAnsi="Arial Narrow" w:cs="Arial"/>
                <w:sz w:val="24"/>
                <w:szCs w:val="24"/>
              </w:rPr>
            </w:pPr>
            <w:r w:rsidRPr="009B7FA3">
              <w:rPr>
                <w:rFonts w:ascii="Arial Narrow" w:hAnsi="Arial Narrow" w:cs="Arial"/>
                <w:i/>
                <w:iCs/>
                <w:sz w:val="24"/>
                <w:szCs w:val="24"/>
              </w:rPr>
              <w:t>Los proyectos beneficiarios de estos incentivos deberán estar acreditados por la entidad rectora del Sistema, conforme se determine en el respectivo reglamento que éste emita.”</w:t>
            </w:r>
            <w:r w:rsidRPr="009B7FA3">
              <w:rPr>
                <w:rFonts w:ascii="Arial Narrow" w:hAnsi="Arial Narrow" w:cs="Arial"/>
                <w:sz w:val="24"/>
                <w:szCs w:val="24"/>
              </w:rPr>
              <w:t>;</w:t>
            </w:r>
          </w:p>
        </w:tc>
      </w:tr>
      <w:tr w:rsidR="00E464A6" w:rsidRPr="009B7FA3" w14:paraId="2B8D9DE8" w14:textId="77777777" w:rsidTr="00397014">
        <w:tc>
          <w:tcPr>
            <w:tcW w:w="846" w:type="dxa"/>
          </w:tcPr>
          <w:p w14:paraId="016E666C"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035BE51A" w14:textId="77777777" w:rsidR="00E464A6" w:rsidRPr="009B7FA3" w:rsidRDefault="00E464A6" w:rsidP="009B7FA3">
            <w:pPr>
              <w:spacing w:before="120" w:after="120" w:line="276" w:lineRule="auto"/>
              <w:jc w:val="both"/>
              <w:rPr>
                <w:rFonts w:ascii="Arial Narrow" w:hAnsi="Arial Narrow" w:cs="Arial"/>
                <w:i/>
                <w:iCs/>
                <w:sz w:val="24"/>
                <w:szCs w:val="24"/>
              </w:rPr>
            </w:pPr>
            <w:proofErr w:type="gramStart"/>
            <w:r w:rsidRPr="009B7FA3">
              <w:rPr>
                <w:rFonts w:ascii="Arial Narrow" w:hAnsi="Arial Narrow" w:cs="Arial"/>
                <w:sz w:val="24"/>
                <w:szCs w:val="24"/>
              </w:rPr>
              <w:t>el</w:t>
            </w:r>
            <w:proofErr w:type="gramEnd"/>
            <w:r w:rsidRPr="009B7FA3">
              <w:rPr>
                <w:rFonts w:ascii="Arial Narrow" w:hAnsi="Arial Narrow" w:cs="Arial"/>
                <w:sz w:val="24"/>
                <w:szCs w:val="24"/>
              </w:rPr>
              <w:t xml:space="preserve"> artículo 102 del Código Orgánico Administrativo, señala: </w:t>
            </w:r>
            <w:r w:rsidRPr="009B7FA3">
              <w:rPr>
                <w:rFonts w:ascii="Arial Narrow" w:hAnsi="Arial Narrow" w:cs="Arial"/>
                <w:i/>
                <w:iCs/>
                <w:sz w:val="24"/>
                <w:szCs w:val="24"/>
              </w:rPr>
              <w:t>“Retroactividad del acto administrativo favorable. La administración pública puede expedir, con efecto retroactivo, un acto administrativo, solo cuando produzca efectos favorables a la persona y no se lesionen derechos o intereses legítimos de otra.</w:t>
            </w:r>
          </w:p>
          <w:p w14:paraId="7770BBD5" w14:textId="77777777" w:rsidR="00E464A6" w:rsidRPr="009B7FA3" w:rsidRDefault="00E464A6" w:rsidP="009B7FA3">
            <w:pPr>
              <w:spacing w:before="120" w:after="120" w:line="276" w:lineRule="auto"/>
              <w:jc w:val="both"/>
              <w:rPr>
                <w:rFonts w:ascii="Arial Narrow" w:hAnsi="Arial Narrow" w:cs="Arial"/>
                <w:i/>
                <w:iCs/>
                <w:sz w:val="24"/>
                <w:szCs w:val="24"/>
              </w:rPr>
            </w:pPr>
          </w:p>
          <w:p w14:paraId="3AE2D838" w14:textId="77777777" w:rsidR="00E464A6" w:rsidRPr="009B7FA3" w:rsidRDefault="00E464A6" w:rsidP="009B7FA3">
            <w:pPr>
              <w:spacing w:before="120" w:after="120" w:line="276" w:lineRule="auto"/>
              <w:jc w:val="both"/>
              <w:rPr>
                <w:rFonts w:ascii="Arial Narrow" w:hAnsi="Arial Narrow" w:cs="Arial"/>
                <w:sz w:val="24"/>
                <w:szCs w:val="24"/>
              </w:rPr>
            </w:pPr>
            <w:r w:rsidRPr="009B7FA3">
              <w:rPr>
                <w:rFonts w:ascii="Arial Narrow" w:hAnsi="Arial Narrow" w:cs="Arial"/>
                <w:i/>
                <w:iCs/>
                <w:sz w:val="24"/>
                <w:szCs w:val="24"/>
              </w:rPr>
              <w:t>Los supuestos de hecho para la eficacia retroactiva deben existir en la fecha a la que el acto se retrotraiga.”</w:t>
            </w:r>
            <w:r w:rsidRPr="009B7FA3">
              <w:rPr>
                <w:rFonts w:ascii="Arial Narrow" w:hAnsi="Arial Narrow" w:cs="Arial"/>
                <w:sz w:val="24"/>
                <w:szCs w:val="24"/>
              </w:rPr>
              <w:t>;</w:t>
            </w:r>
          </w:p>
        </w:tc>
      </w:tr>
      <w:tr w:rsidR="00E464A6" w:rsidRPr="009B7FA3" w14:paraId="5126BE97" w14:textId="77777777" w:rsidTr="00397014">
        <w:tc>
          <w:tcPr>
            <w:tcW w:w="846" w:type="dxa"/>
          </w:tcPr>
          <w:p w14:paraId="72EFA4A5"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lastRenderedPageBreak/>
              <w:t>Que,</w:t>
            </w:r>
          </w:p>
        </w:tc>
        <w:tc>
          <w:tcPr>
            <w:tcW w:w="7649" w:type="dxa"/>
          </w:tcPr>
          <w:p w14:paraId="6E8C4633" w14:textId="77777777" w:rsidR="00E464A6" w:rsidRPr="009B7FA3" w:rsidRDefault="00E464A6" w:rsidP="009B7FA3">
            <w:pPr>
              <w:spacing w:before="120" w:after="120" w:line="276" w:lineRule="auto"/>
              <w:jc w:val="both"/>
              <w:rPr>
                <w:rFonts w:ascii="Arial Narrow" w:hAnsi="Arial Narrow" w:cs="Arial"/>
                <w:i/>
                <w:iCs/>
                <w:sz w:val="24"/>
                <w:szCs w:val="24"/>
              </w:rPr>
            </w:pPr>
            <w:proofErr w:type="gramStart"/>
            <w:r w:rsidRPr="009B7FA3">
              <w:rPr>
                <w:rFonts w:ascii="Arial Narrow" w:hAnsi="Arial Narrow" w:cs="Arial"/>
                <w:sz w:val="24"/>
                <w:szCs w:val="24"/>
              </w:rPr>
              <w:t>el</w:t>
            </w:r>
            <w:proofErr w:type="gramEnd"/>
            <w:r w:rsidRPr="009B7FA3">
              <w:rPr>
                <w:rFonts w:ascii="Arial Narrow" w:hAnsi="Arial Narrow" w:cs="Arial"/>
                <w:sz w:val="24"/>
                <w:szCs w:val="24"/>
              </w:rPr>
              <w:t xml:space="preserve"> artículo 130 del Código Orgánico Administrativo, señala: </w:t>
            </w:r>
            <w:r w:rsidRPr="009B7FA3">
              <w:rPr>
                <w:rFonts w:ascii="Arial Narrow" w:hAnsi="Arial Narrow" w:cs="Arial"/>
                <w:i/>
                <w:iCs/>
                <w:sz w:val="24"/>
                <w:szCs w:val="24"/>
              </w:rPr>
              <w:t>“Competencia normativa de carácter administrativo. Las máximas autoridades administrativas tienen competencia normativa de carácter administrativo únicamente para regular los asuntos internos del órgano a su cargo, salvo los casos en los que la ley prevea esta competencia para la máxima autoridad legislativa de una administración pública.</w:t>
            </w:r>
          </w:p>
          <w:p w14:paraId="166E00E6" w14:textId="77777777" w:rsidR="00E464A6" w:rsidRPr="009B7FA3" w:rsidRDefault="00E464A6" w:rsidP="009B7FA3">
            <w:pPr>
              <w:spacing w:before="120" w:after="120" w:line="276" w:lineRule="auto"/>
              <w:jc w:val="both"/>
              <w:rPr>
                <w:rFonts w:ascii="Arial Narrow" w:hAnsi="Arial Narrow" w:cs="Arial"/>
                <w:i/>
                <w:iCs/>
                <w:sz w:val="24"/>
                <w:szCs w:val="24"/>
              </w:rPr>
            </w:pPr>
          </w:p>
          <w:p w14:paraId="15254076" w14:textId="77777777" w:rsidR="00E464A6" w:rsidRPr="009B7FA3" w:rsidRDefault="00E464A6" w:rsidP="009B7FA3">
            <w:pPr>
              <w:spacing w:before="120" w:after="120" w:line="276" w:lineRule="auto"/>
              <w:jc w:val="both"/>
              <w:rPr>
                <w:rFonts w:ascii="Arial Narrow" w:hAnsi="Arial Narrow" w:cs="Arial"/>
                <w:sz w:val="24"/>
                <w:szCs w:val="24"/>
              </w:rPr>
            </w:pPr>
            <w:r w:rsidRPr="009B7FA3">
              <w:rPr>
                <w:rFonts w:ascii="Arial Narrow" w:hAnsi="Arial Narrow" w:cs="Arial"/>
                <w:i/>
                <w:iCs/>
                <w:sz w:val="24"/>
                <w:szCs w:val="24"/>
              </w:rPr>
              <w:t>La competencia regulatoria de las actuaciones de las personas debe estar expresamente atribuida en la ley”</w:t>
            </w:r>
            <w:r w:rsidRPr="009B7FA3">
              <w:rPr>
                <w:rFonts w:ascii="Arial Narrow" w:hAnsi="Arial Narrow" w:cs="Arial"/>
                <w:sz w:val="24"/>
                <w:szCs w:val="24"/>
              </w:rPr>
              <w:t>;</w:t>
            </w:r>
          </w:p>
        </w:tc>
      </w:tr>
      <w:tr w:rsidR="00E464A6" w:rsidRPr="009B7FA3" w14:paraId="64AD43C3" w14:textId="77777777" w:rsidTr="00397014">
        <w:tc>
          <w:tcPr>
            <w:tcW w:w="846" w:type="dxa"/>
          </w:tcPr>
          <w:p w14:paraId="566A8AE2"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505EECBF" w14:textId="77777777" w:rsidR="00E464A6" w:rsidRPr="009B7FA3" w:rsidRDefault="00E464A6" w:rsidP="009B7FA3">
            <w:pPr>
              <w:spacing w:before="120" w:after="120" w:line="276" w:lineRule="auto"/>
              <w:jc w:val="both"/>
              <w:rPr>
                <w:rFonts w:ascii="Arial Narrow" w:hAnsi="Arial Narrow" w:cs="Arial"/>
                <w:sz w:val="24"/>
                <w:szCs w:val="24"/>
              </w:rPr>
            </w:pPr>
            <w:proofErr w:type="gramStart"/>
            <w:r w:rsidRPr="009B7FA3">
              <w:rPr>
                <w:rFonts w:ascii="Arial Narrow" w:hAnsi="Arial Narrow" w:cs="Arial"/>
                <w:sz w:val="24"/>
                <w:szCs w:val="24"/>
              </w:rPr>
              <w:t>el</w:t>
            </w:r>
            <w:proofErr w:type="gramEnd"/>
            <w:r w:rsidRPr="009B7FA3">
              <w:rPr>
                <w:rFonts w:ascii="Arial Narrow" w:hAnsi="Arial Narrow" w:cs="Arial"/>
                <w:sz w:val="24"/>
                <w:szCs w:val="24"/>
              </w:rPr>
              <w:t xml:space="preserve"> artículo 17 del Estatuto del Régimen Jurídico y Administrativo de la Función Ejecutiva, determina: </w:t>
            </w:r>
            <w:r w:rsidRPr="009B7FA3">
              <w:rPr>
                <w:rFonts w:ascii="Arial Narrow" w:hAnsi="Arial Narrow" w:cs="Arial"/>
                <w:i/>
                <w:iCs/>
                <w:sz w:val="24"/>
                <w:szCs w:val="24"/>
              </w:rPr>
              <w:t>“Los Ministros de Estado son competentes para el despacho de todos los asuntos inherentes a sus ministerios sin necesidad de autorización alguna del Presidente de la República, salvo los casos expresamente señalados en leyes especiales. (…)”</w:t>
            </w:r>
            <w:r w:rsidRPr="009B7FA3">
              <w:rPr>
                <w:rFonts w:ascii="Arial Narrow" w:hAnsi="Arial Narrow" w:cs="Arial"/>
                <w:sz w:val="24"/>
                <w:szCs w:val="24"/>
              </w:rPr>
              <w:t>;</w:t>
            </w:r>
          </w:p>
        </w:tc>
      </w:tr>
      <w:tr w:rsidR="00E464A6" w:rsidRPr="009B7FA3" w14:paraId="09B7878E" w14:textId="77777777" w:rsidTr="00397014">
        <w:tc>
          <w:tcPr>
            <w:tcW w:w="846" w:type="dxa"/>
          </w:tcPr>
          <w:p w14:paraId="660D6AA7"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2BC16834" w14:textId="77777777" w:rsidR="00E464A6" w:rsidRPr="009B7FA3" w:rsidRDefault="00E464A6" w:rsidP="009B7FA3">
            <w:pPr>
              <w:spacing w:before="120" w:after="120" w:line="276" w:lineRule="auto"/>
              <w:jc w:val="both"/>
              <w:rPr>
                <w:rFonts w:ascii="Arial Narrow" w:hAnsi="Arial Narrow" w:cs="Arial"/>
                <w:i/>
                <w:iCs/>
                <w:sz w:val="24"/>
                <w:szCs w:val="24"/>
              </w:rPr>
            </w:pPr>
            <w:proofErr w:type="gramStart"/>
            <w:r w:rsidRPr="009B7FA3">
              <w:rPr>
                <w:rFonts w:ascii="Arial Narrow" w:hAnsi="Arial Narrow" w:cs="Arial"/>
                <w:sz w:val="24"/>
                <w:szCs w:val="24"/>
              </w:rPr>
              <w:t>el</w:t>
            </w:r>
            <w:proofErr w:type="gramEnd"/>
            <w:r w:rsidRPr="009B7FA3">
              <w:rPr>
                <w:rFonts w:ascii="Arial Narrow" w:hAnsi="Arial Narrow" w:cs="Arial"/>
                <w:sz w:val="24"/>
                <w:szCs w:val="24"/>
              </w:rPr>
              <w:t xml:space="preserve"> artículo 99 del Estatuto del Régimen Jurídico y Administrativo de la Función Ejecutiva, prescribe: </w:t>
            </w:r>
            <w:r w:rsidRPr="009B7FA3">
              <w:rPr>
                <w:rFonts w:ascii="Arial Narrow" w:hAnsi="Arial Narrow" w:cs="Arial"/>
                <w:i/>
                <w:iCs/>
                <w:sz w:val="24"/>
                <w:szCs w:val="24"/>
              </w:rPr>
              <w:t>“MODALIDADES.- Los actos normativos podrán ser derogados o reformados por el órgano competente para hacerlo cuando así se lo considere conveniente. Se entenderá reformado tácitamente un acto normativo en la medida en que uno expedido con posterioridad contenga disposiciones contradictorias o diferentes al anterior.</w:t>
            </w:r>
          </w:p>
          <w:p w14:paraId="35C75D12" w14:textId="77777777" w:rsidR="00E464A6" w:rsidRPr="009B7FA3" w:rsidRDefault="00E464A6" w:rsidP="009B7FA3">
            <w:pPr>
              <w:spacing w:before="120" w:after="120" w:line="276" w:lineRule="auto"/>
              <w:jc w:val="both"/>
              <w:rPr>
                <w:rFonts w:ascii="Arial Narrow" w:hAnsi="Arial Narrow" w:cs="Arial"/>
                <w:i/>
                <w:iCs/>
                <w:sz w:val="24"/>
                <w:szCs w:val="24"/>
              </w:rPr>
            </w:pPr>
          </w:p>
          <w:p w14:paraId="3C4A4EA3" w14:textId="77777777" w:rsidR="00E464A6" w:rsidRPr="009B7FA3" w:rsidRDefault="00E464A6" w:rsidP="009B7FA3">
            <w:pPr>
              <w:spacing w:before="120" w:after="120" w:line="276" w:lineRule="auto"/>
              <w:jc w:val="both"/>
              <w:rPr>
                <w:rFonts w:ascii="Arial Narrow" w:hAnsi="Arial Narrow" w:cs="Arial"/>
                <w:sz w:val="24"/>
                <w:szCs w:val="24"/>
              </w:rPr>
            </w:pPr>
            <w:r w:rsidRPr="009B7FA3">
              <w:rPr>
                <w:rFonts w:ascii="Arial Narrow" w:hAnsi="Arial Narrow" w:cs="Arial"/>
                <w:i/>
                <w:iCs/>
                <w:sz w:val="24"/>
                <w:szCs w:val="24"/>
              </w:rPr>
              <w:t>La derogación o reforma de una ley deja sin efecto al acto normativo que la regulaba. Así mismo, cuando se promulga una ley que establece normas incompatibles con un acto normativo anterior éste pierde eficacia en todo cuanto resulte en contradicción con el nuevo texto legal.”</w:t>
            </w:r>
            <w:r w:rsidRPr="009B7FA3">
              <w:rPr>
                <w:rFonts w:ascii="Arial Narrow" w:hAnsi="Arial Narrow" w:cs="Arial"/>
                <w:sz w:val="24"/>
                <w:szCs w:val="24"/>
              </w:rPr>
              <w:t>;</w:t>
            </w:r>
          </w:p>
        </w:tc>
      </w:tr>
      <w:tr w:rsidR="00E464A6" w:rsidRPr="009B7FA3" w14:paraId="617252AE" w14:textId="77777777" w:rsidTr="00397014">
        <w:tc>
          <w:tcPr>
            <w:tcW w:w="846" w:type="dxa"/>
          </w:tcPr>
          <w:p w14:paraId="60D7F8DF"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58737C3F" w14:textId="77777777" w:rsidR="00E464A6" w:rsidRPr="009B7FA3" w:rsidRDefault="00E464A6" w:rsidP="009B7FA3">
            <w:pPr>
              <w:spacing w:before="120" w:after="120" w:line="276" w:lineRule="auto"/>
              <w:jc w:val="both"/>
              <w:rPr>
                <w:rFonts w:ascii="Arial Narrow" w:hAnsi="Arial Narrow" w:cs="Arial"/>
                <w:sz w:val="24"/>
                <w:szCs w:val="24"/>
              </w:rPr>
            </w:pPr>
            <w:proofErr w:type="gramStart"/>
            <w:r w:rsidRPr="009B7FA3">
              <w:rPr>
                <w:rFonts w:ascii="Arial Narrow" w:hAnsi="Arial Narrow" w:cs="Arial"/>
                <w:sz w:val="24"/>
                <w:szCs w:val="24"/>
              </w:rPr>
              <w:t>mediante</w:t>
            </w:r>
            <w:proofErr w:type="gramEnd"/>
            <w:r w:rsidRPr="009B7FA3">
              <w:rPr>
                <w:rFonts w:ascii="Arial Narrow" w:hAnsi="Arial Narrow" w:cs="Arial"/>
                <w:sz w:val="24"/>
                <w:szCs w:val="24"/>
              </w:rPr>
              <w:t xml:space="preserve"> Decreto Ejecutivo Nro. 474, de 05 de julio de 2022, el señor Presidente Constitucional de la República del Ecuador, Guillermo Lasso Mendoza, designó a Andrea Alejandra Montalvo Chedraui como Secretaria de Educación Superior, Ciencia, Tecnología e Innovación;</w:t>
            </w:r>
          </w:p>
        </w:tc>
      </w:tr>
      <w:tr w:rsidR="00E464A6" w:rsidRPr="009B7FA3" w14:paraId="125F525D" w14:textId="77777777" w:rsidTr="00397014">
        <w:tc>
          <w:tcPr>
            <w:tcW w:w="846" w:type="dxa"/>
          </w:tcPr>
          <w:p w14:paraId="79DAB639"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lastRenderedPageBreak/>
              <w:t>Que,</w:t>
            </w:r>
          </w:p>
        </w:tc>
        <w:tc>
          <w:tcPr>
            <w:tcW w:w="7649" w:type="dxa"/>
          </w:tcPr>
          <w:p w14:paraId="568DA0D1" w14:textId="77777777" w:rsidR="00E464A6" w:rsidRPr="009B7FA3" w:rsidRDefault="00E464A6" w:rsidP="009B7FA3">
            <w:pPr>
              <w:spacing w:before="120" w:after="120" w:line="276" w:lineRule="auto"/>
              <w:jc w:val="both"/>
              <w:rPr>
                <w:rFonts w:ascii="Arial Narrow" w:hAnsi="Arial Narrow" w:cs="Arial"/>
                <w:sz w:val="24"/>
                <w:szCs w:val="24"/>
              </w:rPr>
            </w:pPr>
            <w:proofErr w:type="gramStart"/>
            <w:r w:rsidRPr="009B7FA3">
              <w:rPr>
                <w:rFonts w:ascii="Arial Narrow" w:hAnsi="Arial Narrow" w:cs="Arial"/>
                <w:sz w:val="24"/>
                <w:szCs w:val="24"/>
              </w:rPr>
              <w:t>mediante</w:t>
            </w:r>
            <w:proofErr w:type="gramEnd"/>
            <w:r w:rsidRPr="009B7FA3">
              <w:rPr>
                <w:rFonts w:ascii="Arial Narrow" w:hAnsi="Arial Narrow" w:cs="Arial"/>
                <w:sz w:val="24"/>
                <w:szCs w:val="24"/>
              </w:rPr>
              <w:t xml:space="preserve"> Acuerdo No. SENESCYT-2016-0161, de fecha 28 de septiembre de 2016, se expidieron las “Bases para Regular la Convocatoria de Proyectos Innovadores en el Marco del Programa Banco de Ideas”;</w:t>
            </w:r>
          </w:p>
        </w:tc>
      </w:tr>
      <w:tr w:rsidR="00E464A6" w:rsidRPr="009B7FA3" w14:paraId="6A026858" w14:textId="77777777" w:rsidTr="00397014">
        <w:tc>
          <w:tcPr>
            <w:tcW w:w="846" w:type="dxa"/>
          </w:tcPr>
          <w:p w14:paraId="6DE7647E"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61072424" w14:textId="77777777" w:rsidR="00E464A6" w:rsidRPr="009B7FA3" w:rsidRDefault="00E464A6" w:rsidP="009B7FA3">
            <w:pPr>
              <w:spacing w:before="120" w:after="120" w:line="276" w:lineRule="auto"/>
              <w:jc w:val="both"/>
              <w:rPr>
                <w:rFonts w:ascii="Arial Narrow" w:hAnsi="Arial Narrow" w:cs="Arial"/>
                <w:sz w:val="24"/>
                <w:szCs w:val="24"/>
              </w:rPr>
            </w:pPr>
            <w:proofErr w:type="gramStart"/>
            <w:r w:rsidRPr="009B7FA3">
              <w:rPr>
                <w:rFonts w:ascii="Arial Narrow" w:hAnsi="Arial Narrow" w:cs="Arial"/>
                <w:sz w:val="24"/>
                <w:szCs w:val="24"/>
              </w:rPr>
              <w:t>con</w:t>
            </w:r>
            <w:proofErr w:type="gramEnd"/>
            <w:r w:rsidRPr="009B7FA3">
              <w:rPr>
                <w:rFonts w:ascii="Arial Narrow" w:hAnsi="Arial Narrow" w:cs="Arial"/>
                <w:sz w:val="24"/>
                <w:szCs w:val="24"/>
              </w:rPr>
              <w:t xml:space="preserve"> Acuerdo No. SENESCYT-2016-0162 de 28 de septiembre de 2016, se expidió el “Reglamento para el Acompañamiento Integral de Proyectos, Administración y Ejecución de Capital Semilla”;</w:t>
            </w:r>
          </w:p>
        </w:tc>
      </w:tr>
      <w:tr w:rsidR="00E464A6" w:rsidRPr="009B7FA3" w14:paraId="43F30C42" w14:textId="77777777" w:rsidTr="00397014">
        <w:tc>
          <w:tcPr>
            <w:tcW w:w="846" w:type="dxa"/>
          </w:tcPr>
          <w:p w14:paraId="7969EE0D"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6FDE731D" w14:textId="77777777" w:rsidR="00E464A6" w:rsidRPr="009B7FA3" w:rsidRDefault="00E464A6" w:rsidP="009B7FA3">
            <w:pPr>
              <w:spacing w:before="120" w:after="120" w:line="276" w:lineRule="auto"/>
              <w:jc w:val="both"/>
              <w:rPr>
                <w:rFonts w:ascii="Arial Narrow" w:hAnsi="Arial Narrow" w:cs="Arial"/>
                <w:sz w:val="24"/>
                <w:szCs w:val="24"/>
              </w:rPr>
            </w:pPr>
            <w:proofErr w:type="gramStart"/>
            <w:r w:rsidRPr="009B7FA3">
              <w:rPr>
                <w:rFonts w:ascii="Arial Narrow" w:hAnsi="Arial Narrow" w:cs="Arial"/>
                <w:sz w:val="24"/>
                <w:szCs w:val="24"/>
              </w:rPr>
              <w:t>con</w:t>
            </w:r>
            <w:proofErr w:type="gramEnd"/>
            <w:r w:rsidRPr="009B7FA3">
              <w:rPr>
                <w:rFonts w:ascii="Arial Narrow" w:hAnsi="Arial Narrow" w:cs="Arial"/>
                <w:sz w:val="24"/>
                <w:szCs w:val="24"/>
              </w:rPr>
              <w:t xml:space="preserve"> Acuerdo No. SENESCYT-2016-229 de 23 de diciembre de 2016, se expidieron reformas al “Reglamento para el Acompañamiento Integral de Proyectos, Administración y Ejecución de Capital Semilla;</w:t>
            </w:r>
          </w:p>
        </w:tc>
      </w:tr>
      <w:tr w:rsidR="00E464A6" w:rsidRPr="009B7FA3" w14:paraId="34447777" w14:textId="77777777" w:rsidTr="00397014">
        <w:tc>
          <w:tcPr>
            <w:tcW w:w="846" w:type="dxa"/>
          </w:tcPr>
          <w:p w14:paraId="5E2A0908"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0DA95592" w14:textId="77777777" w:rsidR="00E464A6" w:rsidRPr="009B7FA3" w:rsidRDefault="00E464A6" w:rsidP="009B7FA3">
            <w:pPr>
              <w:spacing w:before="120" w:after="120" w:line="276" w:lineRule="auto"/>
              <w:jc w:val="both"/>
              <w:rPr>
                <w:rFonts w:ascii="Arial Narrow" w:hAnsi="Arial Narrow" w:cs="Arial"/>
                <w:sz w:val="24"/>
                <w:szCs w:val="24"/>
              </w:rPr>
            </w:pPr>
            <w:proofErr w:type="gramStart"/>
            <w:r w:rsidRPr="009B7FA3">
              <w:rPr>
                <w:rFonts w:ascii="Arial Narrow" w:hAnsi="Arial Narrow" w:cs="Arial"/>
                <w:sz w:val="24"/>
                <w:szCs w:val="24"/>
              </w:rPr>
              <w:t>con</w:t>
            </w:r>
            <w:proofErr w:type="gramEnd"/>
            <w:r w:rsidRPr="009B7FA3">
              <w:rPr>
                <w:rFonts w:ascii="Arial Narrow" w:hAnsi="Arial Narrow" w:cs="Arial"/>
                <w:sz w:val="24"/>
                <w:szCs w:val="24"/>
              </w:rPr>
              <w:t xml:space="preserve"> Acuerdo No. SENESCYT-2017-248 de 28 de noviembre de 2017, se expidieron reformas al “Reglamento para el Acompañamiento Integral de Proyectos, Administración y Ejecución de Capital Semilla;</w:t>
            </w:r>
          </w:p>
        </w:tc>
      </w:tr>
      <w:tr w:rsidR="00E464A6" w:rsidRPr="009B7FA3" w14:paraId="38DECC73" w14:textId="77777777" w:rsidTr="00397014">
        <w:tc>
          <w:tcPr>
            <w:tcW w:w="846" w:type="dxa"/>
          </w:tcPr>
          <w:p w14:paraId="41A7D743"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5EFA06AC" w14:textId="77777777" w:rsidR="00E464A6" w:rsidRPr="009B7FA3" w:rsidRDefault="00E464A6" w:rsidP="009B7FA3">
            <w:pPr>
              <w:spacing w:before="120" w:after="120" w:line="276" w:lineRule="auto"/>
              <w:jc w:val="both"/>
              <w:rPr>
                <w:rFonts w:ascii="Arial Narrow" w:hAnsi="Arial Narrow" w:cs="Arial"/>
                <w:sz w:val="24"/>
                <w:szCs w:val="24"/>
              </w:rPr>
            </w:pPr>
            <w:proofErr w:type="gramStart"/>
            <w:r w:rsidRPr="009B7FA3">
              <w:rPr>
                <w:rFonts w:ascii="Arial Narrow" w:hAnsi="Arial Narrow" w:cs="Arial"/>
                <w:sz w:val="24"/>
                <w:szCs w:val="24"/>
              </w:rPr>
              <w:t>con</w:t>
            </w:r>
            <w:proofErr w:type="gramEnd"/>
            <w:r w:rsidRPr="009B7FA3">
              <w:rPr>
                <w:rFonts w:ascii="Arial Narrow" w:hAnsi="Arial Narrow" w:cs="Arial"/>
                <w:sz w:val="24"/>
                <w:szCs w:val="24"/>
              </w:rPr>
              <w:t xml:space="preserve"> Acuerdo No. SENESCYT-2022-008 de 17 de enero de 2022, se expidieron reformas al “Reglamento para el Acompañamiento Integral de Proyectos, Administración y Ejecución de Capital Semilla;</w:t>
            </w:r>
          </w:p>
        </w:tc>
      </w:tr>
      <w:tr w:rsidR="00E464A6" w:rsidRPr="009B7FA3" w14:paraId="302302BA" w14:textId="77777777" w:rsidTr="00397014">
        <w:tc>
          <w:tcPr>
            <w:tcW w:w="846" w:type="dxa"/>
          </w:tcPr>
          <w:p w14:paraId="56563B0E"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t>Que,</w:t>
            </w:r>
          </w:p>
        </w:tc>
        <w:tc>
          <w:tcPr>
            <w:tcW w:w="7649" w:type="dxa"/>
          </w:tcPr>
          <w:p w14:paraId="45247BC6" w14:textId="0AE7CE5F" w:rsidR="00E464A6" w:rsidRPr="009B7FA3" w:rsidRDefault="00E464A6" w:rsidP="009B7FA3">
            <w:pPr>
              <w:spacing w:before="120" w:after="120" w:line="276" w:lineRule="auto"/>
              <w:jc w:val="both"/>
              <w:rPr>
                <w:rFonts w:ascii="Arial Narrow" w:hAnsi="Arial Narrow" w:cs="Arial"/>
                <w:sz w:val="24"/>
                <w:szCs w:val="24"/>
              </w:rPr>
            </w:pPr>
            <w:proofErr w:type="gramStart"/>
            <w:r w:rsidRPr="009904F2">
              <w:rPr>
                <w:rFonts w:ascii="Arial Narrow" w:hAnsi="Arial Narrow" w:cs="Arial"/>
                <w:sz w:val="24"/>
                <w:szCs w:val="24"/>
                <w:highlight w:val="yellow"/>
              </w:rPr>
              <w:t>con</w:t>
            </w:r>
            <w:proofErr w:type="gramEnd"/>
            <w:r w:rsidRPr="009904F2">
              <w:rPr>
                <w:rFonts w:ascii="Arial Narrow" w:hAnsi="Arial Narrow" w:cs="Arial"/>
                <w:sz w:val="24"/>
                <w:szCs w:val="24"/>
                <w:highlight w:val="yellow"/>
              </w:rPr>
              <w:t xml:space="preserve"> Informe Técnico Nro. SIITT-DSMPPCTI-</w:t>
            </w:r>
            <w:r w:rsidR="009904F2" w:rsidRPr="009904F2">
              <w:rPr>
                <w:rFonts w:ascii="Arial Narrow" w:hAnsi="Arial Narrow" w:cs="Arial"/>
                <w:sz w:val="24"/>
                <w:szCs w:val="24"/>
                <w:highlight w:val="yellow"/>
              </w:rPr>
              <w:t>XXXX</w:t>
            </w:r>
            <w:r w:rsidRPr="009904F2">
              <w:rPr>
                <w:rFonts w:ascii="Arial Narrow" w:hAnsi="Arial Narrow" w:cs="Arial"/>
                <w:sz w:val="24"/>
                <w:szCs w:val="24"/>
                <w:highlight w:val="yellow"/>
              </w:rPr>
              <w:t>-</w:t>
            </w:r>
            <w:r w:rsidR="009904F2" w:rsidRPr="009904F2">
              <w:rPr>
                <w:rFonts w:ascii="Arial Narrow" w:hAnsi="Arial Narrow" w:cs="Arial"/>
                <w:sz w:val="24"/>
                <w:szCs w:val="24"/>
                <w:highlight w:val="yellow"/>
              </w:rPr>
              <w:t>XXX</w:t>
            </w:r>
            <w:r w:rsidRPr="009904F2">
              <w:rPr>
                <w:rFonts w:ascii="Arial Narrow" w:hAnsi="Arial Narrow" w:cs="Arial"/>
                <w:sz w:val="24"/>
                <w:szCs w:val="24"/>
                <w:highlight w:val="yellow"/>
              </w:rPr>
              <w:t xml:space="preserve">-BI de </w:t>
            </w:r>
            <w:r w:rsidR="009904F2" w:rsidRPr="009904F2">
              <w:rPr>
                <w:rFonts w:ascii="Arial Narrow" w:hAnsi="Arial Narrow" w:cs="Arial"/>
                <w:sz w:val="24"/>
                <w:szCs w:val="24"/>
                <w:highlight w:val="yellow"/>
              </w:rPr>
              <w:t>XX</w:t>
            </w:r>
            <w:r w:rsidRPr="009904F2">
              <w:rPr>
                <w:rFonts w:ascii="Arial Narrow" w:hAnsi="Arial Narrow" w:cs="Arial"/>
                <w:sz w:val="24"/>
                <w:szCs w:val="24"/>
                <w:highlight w:val="yellow"/>
              </w:rPr>
              <w:t xml:space="preserve"> de </w:t>
            </w:r>
            <w:r w:rsidR="009904F2" w:rsidRPr="009904F2">
              <w:rPr>
                <w:rFonts w:ascii="Arial Narrow" w:hAnsi="Arial Narrow" w:cs="Arial"/>
                <w:sz w:val="24"/>
                <w:szCs w:val="24"/>
                <w:highlight w:val="yellow"/>
              </w:rPr>
              <w:t>XXXX</w:t>
            </w:r>
            <w:r w:rsidRPr="009904F2">
              <w:rPr>
                <w:rFonts w:ascii="Arial Narrow" w:hAnsi="Arial Narrow" w:cs="Arial"/>
                <w:sz w:val="24"/>
                <w:szCs w:val="24"/>
                <w:highlight w:val="yellow"/>
              </w:rPr>
              <w:t xml:space="preserve"> de </w:t>
            </w:r>
            <w:r w:rsidR="009904F2" w:rsidRPr="009904F2">
              <w:rPr>
                <w:rFonts w:ascii="Arial Narrow" w:hAnsi="Arial Narrow" w:cs="Arial"/>
                <w:sz w:val="24"/>
                <w:szCs w:val="24"/>
                <w:highlight w:val="yellow"/>
              </w:rPr>
              <w:t>2024</w:t>
            </w:r>
            <w:r w:rsidRPr="009B7FA3">
              <w:rPr>
                <w:rFonts w:ascii="Arial Narrow" w:hAnsi="Arial Narrow" w:cs="Arial"/>
                <w:sz w:val="24"/>
                <w:szCs w:val="24"/>
              </w:rPr>
              <w:t>, elaborado y revisado por el personal de la Dirección de Seguimiento y Monitoreo de Programas y Proyectos de Ciencia, Tecnología e Innovación, y aprobado por la Subsecretaría de Investigación, Innovación y Transferencia de Tecnología, se emitieron las siguientes conclusiones y recomendaciones:</w:t>
            </w:r>
          </w:p>
          <w:p w14:paraId="23AD4627" w14:textId="77777777" w:rsidR="00E464A6" w:rsidRPr="009B7FA3" w:rsidRDefault="00E464A6" w:rsidP="009B7FA3">
            <w:pPr>
              <w:spacing w:before="120" w:after="120" w:line="276" w:lineRule="auto"/>
              <w:jc w:val="both"/>
              <w:rPr>
                <w:rFonts w:ascii="Arial Narrow" w:hAnsi="Arial Narrow" w:cs="Arial"/>
                <w:sz w:val="24"/>
                <w:szCs w:val="24"/>
              </w:rPr>
            </w:pPr>
          </w:p>
          <w:p w14:paraId="49691D3C" w14:textId="77777777" w:rsidR="00E464A6" w:rsidRPr="009B7FA3" w:rsidRDefault="00E464A6" w:rsidP="009B7FA3">
            <w:pPr>
              <w:spacing w:before="120" w:after="120" w:line="276" w:lineRule="auto"/>
              <w:jc w:val="both"/>
              <w:rPr>
                <w:rFonts w:ascii="Arial Narrow" w:hAnsi="Arial Narrow" w:cs="Arial"/>
                <w:b/>
                <w:bCs/>
                <w:i/>
                <w:iCs/>
                <w:sz w:val="24"/>
                <w:szCs w:val="24"/>
              </w:rPr>
            </w:pPr>
            <w:r w:rsidRPr="009B7FA3">
              <w:rPr>
                <w:rFonts w:ascii="Arial Narrow" w:hAnsi="Arial Narrow" w:cs="Arial"/>
                <w:i/>
                <w:iCs/>
                <w:sz w:val="24"/>
                <w:szCs w:val="24"/>
              </w:rPr>
              <w:t>“</w:t>
            </w:r>
            <w:r w:rsidRPr="009B7FA3">
              <w:rPr>
                <w:rFonts w:ascii="Arial Narrow" w:hAnsi="Arial Narrow" w:cs="Arial"/>
                <w:b/>
                <w:bCs/>
                <w:i/>
                <w:iCs/>
                <w:sz w:val="24"/>
                <w:szCs w:val="24"/>
              </w:rPr>
              <w:t>5. CONCLUSIONES Y RECOMENDACIONES</w:t>
            </w:r>
          </w:p>
          <w:p w14:paraId="6093632F" w14:textId="77777777" w:rsidR="00E464A6" w:rsidRPr="009B7FA3" w:rsidRDefault="00E464A6" w:rsidP="009B7FA3">
            <w:pPr>
              <w:spacing w:before="120" w:after="120" w:line="276" w:lineRule="auto"/>
              <w:jc w:val="both"/>
              <w:rPr>
                <w:rFonts w:ascii="Arial Narrow" w:hAnsi="Arial Narrow" w:cs="Arial"/>
                <w:i/>
                <w:iCs/>
                <w:sz w:val="24"/>
                <w:szCs w:val="24"/>
              </w:rPr>
            </w:pPr>
          </w:p>
          <w:p w14:paraId="1150DA7E" w14:textId="63F7603F" w:rsidR="00E464A6" w:rsidRPr="009B7FA3" w:rsidRDefault="00E464A6" w:rsidP="009B7FA3">
            <w:pPr>
              <w:spacing w:before="120" w:after="120" w:line="276" w:lineRule="auto"/>
              <w:jc w:val="both"/>
              <w:rPr>
                <w:rFonts w:ascii="Arial Narrow" w:hAnsi="Arial Narrow" w:cs="Arial"/>
                <w:i/>
                <w:iCs/>
                <w:sz w:val="24"/>
                <w:szCs w:val="24"/>
              </w:rPr>
            </w:pPr>
            <w:r w:rsidRPr="009B7FA3">
              <w:rPr>
                <w:rFonts w:ascii="Arial Narrow" w:hAnsi="Arial Narrow" w:cs="Arial"/>
                <w:i/>
                <w:iCs/>
                <w:sz w:val="24"/>
                <w:szCs w:val="24"/>
              </w:rPr>
              <w:t xml:space="preserve">Con la emisión oficial de la Reforma al </w:t>
            </w:r>
            <w:r w:rsidR="001B40DE">
              <w:rPr>
                <w:rFonts w:ascii="Arial Narrow" w:hAnsi="Arial Narrow" w:cs="Arial"/>
                <w:i/>
                <w:iCs/>
                <w:sz w:val="24"/>
                <w:szCs w:val="24"/>
              </w:rPr>
              <w:t>“</w:t>
            </w:r>
            <w:r w:rsidRPr="009B7FA3">
              <w:rPr>
                <w:rFonts w:ascii="Arial Narrow" w:hAnsi="Arial Narrow" w:cs="Arial"/>
                <w:i/>
                <w:iCs/>
                <w:sz w:val="24"/>
                <w:szCs w:val="24"/>
              </w:rPr>
              <w:t>Reglamento para el Acompañamiento Integral de Proyectos, Administración y Ejecución de Capital Semilla</w:t>
            </w:r>
            <w:r w:rsidR="001B40DE">
              <w:rPr>
                <w:rFonts w:ascii="Arial Narrow" w:hAnsi="Arial Narrow" w:cs="Arial"/>
                <w:i/>
                <w:iCs/>
                <w:sz w:val="24"/>
                <w:szCs w:val="24"/>
              </w:rPr>
              <w:t>”</w:t>
            </w:r>
            <w:r w:rsidRPr="009B7FA3">
              <w:rPr>
                <w:rFonts w:ascii="Arial Narrow" w:hAnsi="Arial Narrow" w:cs="Arial"/>
                <w:i/>
                <w:iCs/>
                <w:sz w:val="24"/>
                <w:szCs w:val="24"/>
              </w:rPr>
              <w:t xml:space="preserve">, la Subsecretaría de Investigación, Innovación y Transferencia de Tecnología por medio de la Dirección de Seguimiento y Monitoreo de Programas y Proyectos de Ciencia, Tecnología e Innovación, proporciona agilidad y acorta los plazos dentro del proceso de </w:t>
            </w:r>
            <w:r w:rsidR="009904F2">
              <w:rPr>
                <w:rFonts w:ascii="Arial Narrow" w:hAnsi="Arial Narrow" w:cs="Arial"/>
                <w:i/>
                <w:iCs/>
                <w:sz w:val="24"/>
                <w:szCs w:val="24"/>
              </w:rPr>
              <w:t xml:space="preserve">cierre,  finiquito y desinversión, </w:t>
            </w:r>
            <w:r w:rsidRPr="009B7FA3">
              <w:rPr>
                <w:rFonts w:ascii="Arial Narrow" w:hAnsi="Arial Narrow" w:cs="Arial"/>
                <w:i/>
                <w:iCs/>
                <w:sz w:val="24"/>
                <w:szCs w:val="24"/>
              </w:rPr>
              <w:t>de los proyectos, generando los insumos necesarios para que el Comité de Selección y Adjudicación resuelva la terminación de los proyectos, así mismo, la Subsecretaría podrá coordinar con los/las emprendedores/as los procesos de seguimiento ex post de forma más dinámica atendiendo a los requerimiento</w:t>
            </w:r>
            <w:r w:rsidR="00174466">
              <w:rPr>
                <w:rFonts w:ascii="Arial Narrow" w:hAnsi="Arial Narrow" w:cs="Arial"/>
                <w:i/>
                <w:iCs/>
                <w:sz w:val="24"/>
                <w:szCs w:val="24"/>
              </w:rPr>
              <w:t>s</w:t>
            </w:r>
            <w:r w:rsidRPr="009B7FA3">
              <w:rPr>
                <w:rFonts w:ascii="Arial Narrow" w:hAnsi="Arial Narrow" w:cs="Arial"/>
                <w:i/>
                <w:iCs/>
                <w:sz w:val="24"/>
                <w:szCs w:val="24"/>
              </w:rPr>
              <w:t xml:space="preserve"> de nuestros usuarios. </w:t>
            </w:r>
          </w:p>
          <w:p w14:paraId="65DAD423" w14:textId="77777777" w:rsidR="00E464A6" w:rsidRPr="009B7FA3" w:rsidRDefault="00E464A6" w:rsidP="009B7FA3">
            <w:pPr>
              <w:spacing w:before="120" w:after="120" w:line="276" w:lineRule="auto"/>
              <w:jc w:val="both"/>
              <w:rPr>
                <w:rFonts w:ascii="Arial Narrow" w:hAnsi="Arial Narrow" w:cs="Arial"/>
                <w:i/>
                <w:iCs/>
                <w:sz w:val="24"/>
                <w:szCs w:val="24"/>
              </w:rPr>
            </w:pPr>
          </w:p>
          <w:p w14:paraId="53C46351" w14:textId="08C8B44A" w:rsidR="00E464A6" w:rsidRPr="009B7FA3" w:rsidRDefault="00E464A6" w:rsidP="009B7FA3">
            <w:pPr>
              <w:spacing w:before="120" w:after="120" w:line="276" w:lineRule="auto"/>
              <w:jc w:val="both"/>
              <w:rPr>
                <w:rFonts w:ascii="Arial Narrow" w:hAnsi="Arial Narrow" w:cs="Arial"/>
                <w:i/>
                <w:iCs/>
                <w:sz w:val="24"/>
                <w:szCs w:val="24"/>
              </w:rPr>
            </w:pPr>
            <w:r w:rsidRPr="009B7FA3">
              <w:rPr>
                <w:rFonts w:ascii="Arial Narrow" w:hAnsi="Arial Narrow" w:cs="Arial"/>
                <w:i/>
                <w:iCs/>
                <w:sz w:val="24"/>
                <w:szCs w:val="24"/>
              </w:rPr>
              <w:t>Con los antecedentes descritos, se recomienda a la Subsecretaría de Investigación, Innovación y Transferencia de Tecnología</w:t>
            </w:r>
            <w:r w:rsidR="00174466">
              <w:rPr>
                <w:rFonts w:ascii="Arial Narrow" w:hAnsi="Arial Narrow" w:cs="Arial"/>
                <w:i/>
                <w:iCs/>
                <w:sz w:val="24"/>
                <w:szCs w:val="24"/>
              </w:rPr>
              <w:t>,</w:t>
            </w:r>
            <w:r w:rsidRPr="009B7FA3">
              <w:rPr>
                <w:rFonts w:ascii="Arial Narrow" w:hAnsi="Arial Narrow" w:cs="Arial"/>
                <w:i/>
                <w:iCs/>
                <w:sz w:val="24"/>
                <w:szCs w:val="24"/>
              </w:rPr>
              <w:t xml:space="preserve"> que el presente informe sea elevado a la máxima autoridad de la </w:t>
            </w:r>
            <w:proofErr w:type="spellStart"/>
            <w:r w:rsidRPr="009B7FA3">
              <w:rPr>
                <w:rFonts w:ascii="Arial Narrow" w:hAnsi="Arial Narrow" w:cs="Arial"/>
                <w:i/>
                <w:iCs/>
                <w:sz w:val="24"/>
                <w:szCs w:val="24"/>
              </w:rPr>
              <w:t>Senescyt</w:t>
            </w:r>
            <w:proofErr w:type="spellEnd"/>
            <w:r w:rsidRPr="009B7FA3">
              <w:rPr>
                <w:rFonts w:ascii="Arial Narrow" w:hAnsi="Arial Narrow" w:cs="Arial"/>
                <w:i/>
                <w:iCs/>
                <w:sz w:val="24"/>
                <w:szCs w:val="24"/>
              </w:rPr>
              <w:t xml:space="preserve"> para que, salvo mejor criterio</w:t>
            </w:r>
            <w:r w:rsidR="00174466">
              <w:rPr>
                <w:rFonts w:ascii="Arial Narrow" w:hAnsi="Arial Narrow" w:cs="Arial"/>
                <w:i/>
                <w:iCs/>
                <w:sz w:val="24"/>
                <w:szCs w:val="24"/>
              </w:rPr>
              <w:t>,</w:t>
            </w:r>
            <w:r w:rsidRPr="009B7FA3">
              <w:rPr>
                <w:rFonts w:ascii="Arial Narrow" w:hAnsi="Arial Narrow" w:cs="Arial"/>
                <w:i/>
                <w:iCs/>
                <w:sz w:val="24"/>
                <w:szCs w:val="24"/>
              </w:rPr>
              <w:t xml:space="preserve"> se emita la reforma al “Reglamento para el Acompañamiento Integral de Proyectos, Administración y Ejecución de Capital Semilla” a fin de continuar con los procesos de cierre, finiquito y seguimiento ex post de los proyectos financiados a través del Programa Banco de Ideas.”</w:t>
            </w:r>
          </w:p>
        </w:tc>
      </w:tr>
      <w:tr w:rsidR="00E464A6" w:rsidRPr="009B7FA3" w14:paraId="06E7746F" w14:textId="77777777" w:rsidTr="00397014">
        <w:tc>
          <w:tcPr>
            <w:tcW w:w="846" w:type="dxa"/>
          </w:tcPr>
          <w:p w14:paraId="4A2C6D6A" w14:textId="77777777" w:rsidR="00E464A6" w:rsidRPr="009B7FA3" w:rsidRDefault="00E464A6" w:rsidP="009B7FA3">
            <w:pPr>
              <w:spacing w:before="120" w:after="120" w:line="276" w:lineRule="auto"/>
              <w:jc w:val="both"/>
              <w:rPr>
                <w:rFonts w:ascii="Arial Narrow" w:hAnsi="Arial Narrow" w:cs="Arial"/>
                <w:b/>
                <w:bCs/>
                <w:sz w:val="24"/>
                <w:szCs w:val="24"/>
              </w:rPr>
            </w:pPr>
            <w:r w:rsidRPr="009B7FA3">
              <w:rPr>
                <w:rFonts w:ascii="Arial Narrow" w:hAnsi="Arial Narrow" w:cs="Arial"/>
                <w:b/>
                <w:bCs/>
                <w:sz w:val="24"/>
                <w:szCs w:val="24"/>
              </w:rPr>
              <w:lastRenderedPageBreak/>
              <w:t>Que,</w:t>
            </w:r>
          </w:p>
        </w:tc>
        <w:tc>
          <w:tcPr>
            <w:tcW w:w="7649" w:type="dxa"/>
          </w:tcPr>
          <w:p w14:paraId="16459811" w14:textId="20EF90EA" w:rsidR="00E464A6" w:rsidRPr="00B36563" w:rsidRDefault="00E464A6" w:rsidP="009649C2">
            <w:pPr>
              <w:spacing w:before="120" w:after="120" w:line="276" w:lineRule="auto"/>
              <w:jc w:val="both"/>
              <w:rPr>
                <w:rFonts w:ascii="Arial Narrow" w:hAnsi="Arial Narrow" w:cs="Arial"/>
                <w:i/>
                <w:iCs/>
                <w:sz w:val="24"/>
                <w:szCs w:val="24"/>
                <w:highlight w:val="yellow"/>
              </w:rPr>
            </w:pPr>
            <w:proofErr w:type="gramStart"/>
            <w:r w:rsidRPr="00B36563">
              <w:rPr>
                <w:rFonts w:ascii="Arial Narrow" w:hAnsi="Arial Narrow" w:cs="Arial"/>
                <w:sz w:val="24"/>
                <w:szCs w:val="24"/>
                <w:highlight w:val="yellow"/>
              </w:rPr>
              <w:t>con</w:t>
            </w:r>
            <w:proofErr w:type="gramEnd"/>
            <w:r w:rsidRPr="00B36563">
              <w:rPr>
                <w:rFonts w:ascii="Arial Narrow" w:hAnsi="Arial Narrow" w:cs="Arial"/>
                <w:sz w:val="24"/>
                <w:szCs w:val="24"/>
                <w:highlight w:val="yellow"/>
              </w:rPr>
              <w:t xml:space="preserve"> memorando Nro. SENESCYT-SGESCTI-2023-XXXX-MI de XX de XXXX de </w:t>
            </w:r>
            <w:r w:rsidR="009904F2">
              <w:rPr>
                <w:rFonts w:ascii="Arial Narrow" w:hAnsi="Arial Narrow" w:cs="Arial"/>
                <w:sz w:val="24"/>
                <w:szCs w:val="24"/>
                <w:highlight w:val="yellow"/>
              </w:rPr>
              <w:t>2024</w:t>
            </w:r>
            <w:r w:rsidRPr="00B36563">
              <w:rPr>
                <w:rFonts w:ascii="Arial Narrow" w:hAnsi="Arial Narrow" w:cs="Arial"/>
                <w:sz w:val="24"/>
                <w:szCs w:val="24"/>
                <w:highlight w:val="yellow"/>
              </w:rPr>
              <w:t xml:space="preserve">, </w:t>
            </w:r>
            <w:r w:rsidRPr="00490381">
              <w:rPr>
                <w:rFonts w:ascii="Arial Narrow" w:hAnsi="Arial Narrow" w:cs="Arial"/>
              </w:rPr>
              <w:t>la Subsecretaria General de Educación Superior, Ciencia, Tec</w:t>
            </w:r>
            <w:r w:rsidR="009904F2">
              <w:rPr>
                <w:rFonts w:ascii="Arial Narrow" w:hAnsi="Arial Narrow" w:cs="Arial"/>
              </w:rPr>
              <w:t xml:space="preserve">nología e Innovación, remitió </w:t>
            </w:r>
            <w:r w:rsidRPr="00490381">
              <w:rPr>
                <w:rFonts w:ascii="Arial Narrow" w:hAnsi="Arial Narrow" w:cs="Arial"/>
              </w:rPr>
              <w:t xml:space="preserve">al Secretario de Educación Superior, Ciencia, Tecnología e Innovación la </w:t>
            </w:r>
            <w:r w:rsidRPr="00490381">
              <w:rPr>
                <w:rFonts w:ascii="Arial Narrow" w:hAnsi="Arial Narrow" w:cs="Arial"/>
                <w:i/>
                <w:iCs/>
              </w:rPr>
              <w:t>“(…) propuesta al REGLAMENTO PARA EL ACOMPAÑAMIENTO INTEGRAL DE PROYECTOS, ADMINISTRACIÓN Y EJECUCIÓN DE CAPITAL</w:t>
            </w:r>
            <w:r w:rsidR="00213EC7" w:rsidRPr="00490381">
              <w:rPr>
                <w:rFonts w:ascii="Arial Narrow" w:hAnsi="Arial Narrow" w:cs="Arial"/>
                <w:i/>
                <w:iCs/>
              </w:rPr>
              <w:t xml:space="preserve"> </w:t>
            </w:r>
            <w:r w:rsidRPr="00490381">
              <w:rPr>
                <w:rFonts w:ascii="Arial Narrow" w:hAnsi="Arial Narrow" w:cs="Arial"/>
                <w:i/>
                <w:iCs/>
              </w:rPr>
              <w:t xml:space="preserve">SEMILLA, </w:t>
            </w:r>
            <w:r w:rsidR="009904F2">
              <w:rPr>
                <w:rFonts w:ascii="Arial Narrow" w:hAnsi="Arial Narrow" w:cs="Arial"/>
                <w:i/>
                <w:iCs/>
              </w:rPr>
              <w:t xml:space="preserve">y solicitó la </w:t>
            </w:r>
            <w:r w:rsidRPr="00490381">
              <w:rPr>
                <w:rFonts w:ascii="Arial Narrow" w:hAnsi="Arial Narrow" w:cs="Arial"/>
                <w:i/>
                <w:iCs/>
              </w:rPr>
              <w:t xml:space="preserve">respectiva aprobación </w:t>
            </w:r>
            <w:r w:rsidR="009904F2">
              <w:rPr>
                <w:rFonts w:ascii="Arial Narrow" w:hAnsi="Arial Narrow" w:cs="Arial"/>
                <w:i/>
                <w:iCs/>
              </w:rPr>
              <w:t>a fin de</w:t>
            </w:r>
            <w:r w:rsidRPr="00490381">
              <w:rPr>
                <w:rFonts w:ascii="Arial Narrow" w:hAnsi="Arial Narrow" w:cs="Arial"/>
                <w:i/>
                <w:iCs/>
              </w:rPr>
              <w:t xml:space="preserve"> continuar con el proceso de reforma pertinente con la Coordinación General de Asesoría Jurídica.”</w:t>
            </w:r>
            <w:r w:rsidRPr="00490381">
              <w:rPr>
                <w:rFonts w:ascii="Arial Narrow" w:hAnsi="Arial Narrow" w:cs="Arial"/>
              </w:rPr>
              <w:t xml:space="preserve">. </w:t>
            </w:r>
            <w:r w:rsidRPr="009904F2">
              <w:rPr>
                <w:rFonts w:ascii="Arial Narrow" w:hAnsi="Arial Narrow" w:cs="Arial"/>
                <w:highlight w:val="yellow"/>
              </w:rPr>
              <w:t xml:space="preserve">Con sumilla inserta en el Sistema de Gestión Documental </w:t>
            </w:r>
            <w:proofErr w:type="spellStart"/>
            <w:r w:rsidRPr="009904F2">
              <w:rPr>
                <w:rFonts w:ascii="Arial Narrow" w:hAnsi="Arial Narrow" w:cs="Arial"/>
                <w:highlight w:val="yellow"/>
              </w:rPr>
              <w:t>Quipux</w:t>
            </w:r>
            <w:proofErr w:type="spellEnd"/>
            <w:r w:rsidRPr="009904F2">
              <w:rPr>
                <w:rFonts w:ascii="Arial Narrow" w:hAnsi="Arial Narrow" w:cs="Arial"/>
                <w:highlight w:val="yellow"/>
              </w:rPr>
              <w:t xml:space="preserve">, la máxima autoridad de esta Secretaría, </w:t>
            </w:r>
            <w:r w:rsidR="009649C2">
              <w:rPr>
                <w:rFonts w:ascii="Arial Narrow" w:hAnsi="Arial Narrow" w:cs="Arial"/>
                <w:highlight w:val="yellow"/>
              </w:rPr>
              <w:t>autorizó la reforma planteada</w:t>
            </w:r>
            <w:r w:rsidRPr="009904F2">
              <w:rPr>
                <w:rFonts w:ascii="Arial Narrow" w:hAnsi="Arial Narrow" w:cs="Arial"/>
                <w:highlight w:val="yellow"/>
              </w:rPr>
              <w:t>.</w:t>
            </w:r>
            <w:bookmarkStart w:id="0" w:name="_GoBack"/>
            <w:bookmarkEnd w:id="0"/>
          </w:p>
        </w:tc>
      </w:tr>
    </w:tbl>
    <w:p w14:paraId="786A78E6" w14:textId="77777777" w:rsidR="00E464A6" w:rsidRPr="009B7FA3" w:rsidRDefault="00E464A6" w:rsidP="009B7FA3">
      <w:pPr>
        <w:spacing w:before="120" w:after="120" w:line="276" w:lineRule="auto"/>
        <w:jc w:val="both"/>
        <w:rPr>
          <w:rFonts w:ascii="Arial Narrow" w:hAnsi="Arial Narrow" w:cs="Arial"/>
          <w:b/>
          <w:bCs/>
        </w:rPr>
      </w:pPr>
    </w:p>
    <w:p w14:paraId="27AD00B3" w14:textId="77777777" w:rsidR="00E464A6" w:rsidRPr="009B7FA3" w:rsidRDefault="00E464A6" w:rsidP="009B7FA3">
      <w:pPr>
        <w:spacing w:before="120" w:after="120" w:line="276" w:lineRule="auto"/>
        <w:jc w:val="both"/>
        <w:rPr>
          <w:rFonts w:ascii="Arial Narrow" w:hAnsi="Arial Narrow" w:cs="Arial"/>
        </w:rPr>
      </w:pPr>
      <w:r w:rsidRPr="009B7FA3">
        <w:rPr>
          <w:rFonts w:ascii="Arial Narrow" w:hAnsi="Arial Narrow" w:cs="Arial"/>
        </w:rPr>
        <w:t>En ejercicio de las facultades que le confiere el artículo 154 numeral 1 de la Constitución de la República del Ecuador, y los artículos 17 y 99 del Estatuto del Régimen Jurídico y Administrativo de la Función Ejecutiva.</w:t>
      </w:r>
    </w:p>
    <w:p w14:paraId="3300914B" w14:textId="77777777" w:rsidR="00E464A6" w:rsidRPr="009B7FA3" w:rsidRDefault="00E464A6" w:rsidP="009B7FA3">
      <w:pPr>
        <w:spacing w:before="120" w:after="120" w:line="276" w:lineRule="auto"/>
        <w:jc w:val="both"/>
        <w:rPr>
          <w:rFonts w:ascii="Arial Narrow" w:hAnsi="Arial Narrow" w:cs="Arial"/>
        </w:rPr>
      </w:pPr>
    </w:p>
    <w:p w14:paraId="37D2C1EA" w14:textId="77777777" w:rsidR="00E464A6" w:rsidRPr="009B7FA3" w:rsidRDefault="00E464A6" w:rsidP="00174466">
      <w:pPr>
        <w:spacing w:line="276" w:lineRule="auto"/>
        <w:jc w:val="center"/>
        <w:rPr>
          <w:rFonts w:ascii="Arial Narrow" w:hAnsi="Arial Narrow" w:cs="Arial"/>
          <w:b/>
          <w:bCs/>
        </w:rPr>
      </w:pPr>
      <w:r w:rsidRPr="009B7FA3">
        <w:rPr>
          <w:rFonts w:ascii="Arial Narrow" w:hAnsi="Arial Narrow" w:cs="Arial"/>
          <w:b/>
          <w:bCs/>
        </w:rPr>
        <w:t>ACUERDA:</w:t>
      </w:r>
    </w:p>
    <w:p w14:paraId="2B65F56B" w14:textId="77777777" w:rsidR="00E464A6" w:rsidRPr="009B7FA3" w:rsidRDefault="00E464A6" w:rsidP="00174466">
      <w:pPr>
        <w:spacing w:line="276" w:lineRule="auto"/>
        <w:jc w:val="center"/>
        <w:rPr>
          <w:rFonts w:ascii="Arial Narrow" w:hAnsi="Arial Narrow" w:cs="Arial"/>
          <w:b/>
          <w:bCs/>
        </w:rPr>
      </w:pPr>
    </w:p>
    <w:p w14:paraId="0184C152" w14:textId="77777777" w:rsidR="00E464A6" w:rsidRPr="009B7FA3" w:rsidRDefault="00E464A6" w:rsidP="00174466">
      <w:pPr>
        <w:spacing w:line="276" w:lineRule="auto"/>
        <w:jc w:val="center"/>
        <w:rPr>
          <w:rFonts w:ascii="Arial Narrow" w:hAnsi="Arial Narrow" w:cs="Arial"/>
          <w:b/>
          <w:bCs/>
        </w:rPr>
      </w:pPr>
      <w:r w:rsidRPr="009B7FA3">
        <w:rPr>
          <w:rFonts w:ascii="Arial Narrow" w:hAnsi="Arial Narrow" w:cs="Arial"/>
          <w:b/>
          <w:bCs/>
        </w:rPr>
        <w:t>REFORMAR EL REGLAMENTO PARA EL ACOMPAÑAMIENTO INTEGRAL</w:t>
      </w:r>
    </w:p>
    <w:p w14:paraId="5CF92A26" w14:textId="77777777" w:rsidR="00E464A6" w:rsidRPr="009B7FA3" w:rsidRDefault="00E464A6" w:rsidP="00174466">
      <w:pPr>
        <w:spacing w:line="276" w:lineRule="auto"/>
        <w:jc w:val="center"/>
        <w:rPr>
          <w:rFonts w:ascii="Arial Narrow" w:hAnsi="Arial Narrow" w:cs="Arial"/>
          <w:b/>
          <w:bCs/>
        </w:rPr>
      </w:pPr>
      <w:r w:rsidRPr="009B7FA3">
        <w:rPr>
          <w:rFonts w:ascii="Arial Narrow" w:hAnsi="Arial Narrow" w:cs="Arial"/>
          <w:b/>
          <w:bCs/>
        </w:rPr>
        <w:t>DE PROYECTOS, ADMINISTRACIÓN Y EJECUCIÓN DE CAPITAL SEMILLA</w:t>
      </w:r>
    </w:p>
    <w:p w14:paraId="5DD2D8F5" w14:textId="77777777" w:rsidR="00E464A6" w:rsidRPr="009B7FA3" w:rsidRDefault="00E464A6" w:rsidP="009B7FA3">
      <w:pPr>
        <w:spacing w:line="276" w:lineRule="auto"/>
        <w:jc w:val="both"/>
        <w:rPr>
          <w:rFonts w:ascii="Arial Narrow" w:hAnsi="Arial Narrow" w:cs="Arial"/>
          <w:b/>
          <w:bCs/>
        </w:rPr>
      </w:pPr>
    </w:p>
    <w:p w14:paraId="6D7F78DE" w14:textId="77777777" w:rsidR="00B35823" w:rsidRPr="00B35823" w:rsidRDefault="00B35823" w:rsidP="00B35823">
      <w:pPr>
        <w:spacing w:line="276" w:lineRule="auto"/>
        <w:jc w:val="both"/>
        <w:rPr>
          <w:rFonts w:ascii="Arial Narrow" w:hAnsi="Arial Narrow" w:cs="Arial"/>
          <w:bCs/>
        </w:rPr>
      </w:pPr>
      <w:r>
        <w:rPr>
          <w:rFonts w:ascii="Arial Narrow" w:hAnsi="Arial Narrow" w:cs="Arial"/>
          <w:b/>
          <w:bCs/>
        </w:rPr>
        <w:t xml:space="preserve">Artículo 1.- </w:t>
      </w:r>
      <w:r>
        <w:rPr>
          <w:rFonts w:ascii="Arial Narrow" w:hAnsi="Arial Narrow" w:cs="Arial"/>
          <w:bCs/>
        </w:rPr>
        <w:t xml:space="preserve">Sustitúyase </w:t>
      </w:r>
      <w:r w:rsidRPr="00B35823">
        <w:rPr>
          <w:rFonts w:ascii="Arial Narrow" w:hAnsi="Arial Narrow" w:cs="Arial"/>
          <w:bCs/>
        </w:rPr>
        <w:t>la DISPOSICIÓN TRANSITORIA PRIMERA, por la siguiente:</w:t>
      </w:r>
    </w:p>
    <w:p w14:paraId="4E4CCE64" w14:textId="77777777" w:rsidR="00B35823" w:rsidRPr="00B35823" w:rsidRDefault="00B35823" w:rsidP="00B35823">
      <w:pPr>
        <w:spacing w:line="276" w:lineRule="auto"/>
        <w:jc w:val="both"/>
        <w:rPr>
          <w:rFonts w:ascii="Arial Narrow" w:hAnsi="Arial Narrow" w:cs="Arial"/>
          <w:bCs/>
          <w:i/>
        </w:rPr>
      </w:pPr>
    </w:p>
    <w:p w14:paraId="7396A1F9" w14:textId="56138079" w:rsidR="00B35823" w:rsidRPr="00B35823" w:rsidRDefault="00B35823" w:rsidP="00B35823">
      <w:pPr>
        <w:spacing w:line="276" w:lineRule="auto"/>
        <w:jc w:val="both"/>
        <w:rPr>
          <w:rFonts w:ascii="Arial Narrow" w:hAnsi="Arial Narrow" w:cs="Arial"/>
          <w:bCs/>
          <w:i/>
        </w:rPr>
      </w:pPr>
      <w:r w:rsidRPr="00B35823">
        <w:rPr>
          <w:rFonts w:ascii="Arial Narrow" w:hAnsi="Arial Narrow" w:cs="Arial"/>
          <w:b/>
          <w:bCs/>
          <w:i/>
        </w:rPr>
        <w:t xml:space="preserve">“PRIMERA: </w:t>
      </w:r>
      <w:r w:rsidR="00D14E01" w:rsidRPr="00D14E01">
        <w:rPr>
          <w:rFonts w:ascii="Arial Narrow" w:hAnsi="Arial Narrow" w:cs="Arial"/>
          <w:bCs/>
          <w:i/>
        </w:rPr>
        <w:t>El seguimiento ex post de los proyectos adjudicados en las convocatorias del Programa Banco de Ideas realizadas en el período 2014 – 2018, se llevará a cabo por un tiempo máximo de 5 años, contados a partir de la finalización de la etapa de incubación de los proyectos, de acuerdo al proceso establecido en el instructivo que emita la Subsecretaría de Investigación, Innovación y Transferencia de Tecnología.”</w:t>
      </w:r>
    </w:p>
    <w:p w14:paraId="0329C291" w14:textId="77777777" w:rsidR="00B35823" w:rsidRDefault="00B35823" w:rsidP="009B7FA3">
      <w:pPr>
        <w:spacing w:line="276" w:lineRule="auto"/>
        <w:jc w:val="both"/>
        <w:rPr>
          <w:rFonts w:ascii="Arial Narrow" w:hAnsi="Arial Narrow" w:cs="Arial"/>
          <w:b/>
          <w:bCs/>
        </w:rPr>
      </w:pPr>
    </w:p>
    <w:p w14:paraId="7CDA1C8C" w14:textId="5558EC25" w:rsidR="00E464A6" w:rsidRPr="009B7FA3" w:rsidRDefault="00B35823" w:rsidP="009B7FA3">
      <w:pPr>
        <w:spacing w:line="276" w:lineRule="auto"/>
        <w:jc w:val="both"/>
        <w:rPr>
          <w:rFonts w:ascii="Arial Narrow" w:hAnsi="Arial Narrow" w:cs="Arial"/>
        </w:rPr>
      </w:pPr>
      <w:r>
        <w:rPr>
          <w:rFonts w:ascii="Arial Narrow" w:hAnsi="Arial Narrow" w:cs="Arial"/>
          <w:b/>
          <w:bCs/>
        </w:rPr>
        <w:t xml:space="preserve">Artículo 2.- </w:t>
      </w:r>
      <w:r w:rsidR="009904F2">
        <w:rPr>
          <w:rFonts w:ascii="Arial Narrow" w:hAnsi="Arial Narrow" w:cs="Arial"/>
        </w:rPr>
        <w:t>Inclúyase la siguiente DISPOSICIÓN TRANSITORIA:</w:t>
      </w:r>
    </w:p>
    <w:p w14:paraId="56861620" w14:textId="77777777" w:rsidR="00E464A6" w:rsidRDefault="00E464A6" w:rsidP="009B7FA3">
      <w:pPr>
        <w:spacing w:line="276" w:lineRule="auto"/>
        <w:jc w:val="both"/>
        <w:rPr>
          <w:rFonts w:ascii="Arial Narrow" w:hAnsi="Arial Narrow" w:cs="Arial"/>
        </w:rPr>
      </w:pPr>
    </w:p>
    <w:p w14:paraId="79238190" w14:textId="1481D322" w:rsidR="009904F2" w:rsidRDefault="00B35823" w:rsidP="009B7FA3">
      <w:pPr>
        <w:spacing w:line="276" w:lineRule="auto"/>
        <w:jc w:val="both"/>
        <w:rPr>
          <w:rFonts w:ascii="Arial Narrow" w:hAnsi="Arial Narrow" w:cs="Arial"/>
          <w:i/>
        </w:rPr>
      </w:pPr>
      <w:r>
        <w:rPr>
          <w:rFonts w:ascii="Arial Narrow" w:hAnsi="Arial Narrow" w:cs="Arial"/>
          <w:b/>
          <w:i/>
        </w:rPr>
        <w:lastRenderedPageBreak/>
        <w:t>“</w:t>
      </w:r>
      <w:r w:rsidR="001B4724" w:rsidRPr="001B4724">
        <w:rPr>
          <w:rFonts w:ascii="Arial Narrow" w:hAnsi="Arial Narrow" w:cs="Arial"/>
          <w:b/>
          <w:i/>
        </w:rPr>
        <w:t xml:space="preserve">CUARTA: </w:t>
      </w:r>
      <w:r w:rsidR="001B4724">
        <w:rPr>
          <w:rFonts w:ascii="Arial Narrow" w:hAnsi="Arial Narrow" w:cs="Arial"/>
          <w:i/>
        </w:rPr>
        <w:t xml:space="preserve">Para la aplicación del artículo 7, numeral l), la desinversión </w:t>
      </w:r>
      <w:r w:rsidR="001B4724" w:rsidRPr="001B4724">
        <w:rPr>
          <w:rFonts w:ascii="Arial Narrow" w:hAnsi="Arial Narrow" w:cs="Arial"/>
          <w:i/>
        </w:rPr>
        <w:t>se realizará a todos los proyectos adjudicados en las convocatorias del Programa Banco de Ideas realizadas en el período 2014 – 2018, incluso aquellos que ya cuentan con el acta de finiquito suscrita.</w:t>
      </w:r>
      <w:r w:rsidR="002F15B8">
        <w:rPr>
          <w:rFonts w:ascii="Arial Narrow" w:hAnsi="Arial Narrow" w:cs="Arial"/>
          <w:i/>
        </w:rPr>
        <w:t xml:space="preserve"> Para lo cual, la Subsecretaría de Investigación, Innovación y Transferencia de Tecnología determinará los mecanismos de desinversión mediante la emisión del instructivo correspondiente.</w:t>
      </w:r>
    </w:p>
    <w:p w14:paraId="27DA6F34" w14:textId="77777777" w:rsidR="002E25B7" w:rsidRDefault="002E25B7" w:rsidP="009B7FA3">
      <w:pPr>
        <w:spacing w:line="276" w:lineRule="auto"/>
        <w:jc w:val="both"/>
        <w:rPr>
          <w:rFonts w:ascii="Arial Narrow" w:hAnsi="Arial Narrow" w:cs="Arial"/>
          <w:i/>
        </w:rPr>
      </w:pPr>
    </w:p>
    <w:p w14:paraId="01E8E7ED" w14:textId="014C0F61" w:rsidR="002E25B7" w:rsidRDefault="002E25B7" w:rsidP="009B7FA3">
      <w:pPr>
        <w:spacing w:line="276" w:lineRule="auto"/>
        <w:jc w:val="both"/>
        <w:rPr>
          <w:rFonts w:ascii="Arial Narrow" w:hAnsi="Arial Narrow" w:cs="Arial"/>
          <w:i/>
        </w:rPr>
      </w:pPr>
      <w:r>
        <w:rPr>
          <w:rFonts w:ascii="Arial Narrow" w:hAnsi="Arial Narrow" w:cs="Arial"/>
          <w:i/>
        </w:rPr>
        <w:t xml:space="preserve">Una vez finalizado el proceso de desinversión, </w:t>
      </w:r>
      <w:r w:rsidR="002E29E8">
        <w:rPr>
          <w:rFonts w:ascii="Arial Narrow" w:hAnsi="Arial Narrow" w:cs="Arial"/>
          <w:i/>
        </w:rPr>
        <w:t xml:space="preserve">se </w:t>
      </w:r>
      <w:r w:rsidRPr="002E25B7">
        <w:rPr>
          <w:rFonts w:ascii="Arial Narrow" w:hAnsi="Arial Narrow" w:cs="Arial"/>
          <w:i/>
        </w:rPr>
        <w:t>suscribirá conjuntamente con el emprendedo</w:t>
      </w:r>
      <w:r w:rsidR="002E29E8">
        <w:rPr>
          <w:rFonts w:ascii="Arial Narrow" w:hAnsi="Arial Narrow" w:cs="Arial"/>
          <w:i/>
        </w:rPr>
        <w:t xml:space="preserve">r una </w:t>
      </w:r>
      <w:r w:rsidR="00B35823">
        <w:rPr>
          <w:rFonts w:ascii="Arial Narrow" w:hAnsi="Arial Narrow" w:cs="Arial"/>
          <w:i/>
        </w:rPr>
        <w:t xml:space="preserve">acta de </w:t>
      </w:r>
      <w:r w:rsidR="002E29E8">
        <w:rPr>
          <w:rFonts w:ascii="Arial Narrow" w:hAnsi="Arial Narrow" w:cs="Arial"/>
          <w:i/>
        </w:rPr>
        <w:t>liquidación de obligaciones que evidencie la desinversión del proyecto</w:t>
      </w:r>
      <w:r w:rsidRPr="002E25B7">
        <w:rPr>
          <w:rFonts w:ascii="Arial Narrow" w:hAnsi="Arial Narrow" w:cs="Arial"/>
          <w:i/>
        </w:rPr>
        <w:t>.</w:t>
      </w:r>
      <w:r w:rsidR="00B35823">
        <w:rPr>
          <w:rFonts w:ascii="Arial Narrow" w:hAnsi="Arial Narrow" w:cs="Arial"/>
          <w:i/>
        </w:rPr>
        <w:t>”</w:t>
      </w:r>
    </w:p>
    <w:p w14:paraId="3395388E" w14:textId="77777777" w:rsidR="001B4724" w:rsidRPr="009B7FA3" w:rsidRDefault="001B4724" w:rsidP="009B7FA3">
      <w:pPr>
        <w:spacing w:line="276" w:lineRule="auto"/>
        <w:jc w:val="both"/>
        <w:rPr>
          <w:rFonts w:ascii="Arial Narrow" w:hAnsi="Arial Narrow" w:cs="Arial"/>
        </w:rPr>
      </w:pPr>
    </w:p>
    <w:p w14:paraId="493ACDF1" w14:textId="6DED43F2" w:rsidR="00E464A6" w:rsidRPr="009B7FA3" w:rsidRDefault="00E464A6" w:rsidP="009B7FA3">
      <w:pPr>
        <w:spacing w:line="276" w:lineRule="auto"/>
        <w:jc w:val="both"/>
        <w:rPr>
          <w:rFonts w:ascii="Arial Narrow" w:hAnsi="Arial Narrow" w:cs="Arial"/>
        </w:rPr>
      </w:pPr>
      <w:r w:rsidRPr="009B7FA3">
        <w:rPr>
          <w:rFonts w:ascii="Arial Narrow" w:hAnsi="Arial Narrow" w:cs="Arial"/>
          <w:b/>
          <w:bCs/>
        </w:rPr>
        <w:t xml:space="preserve">Artículo </w:t>
      </w:r>
      <w:r w:rsidR="002F15B8">
        <w:rPr>
          <w:rFonts w:ascii="Arial Narrow" w:hAnsi="Arial Narrow" w:cs="Arial"/>
          <w:b/>
          <w:bCs/>
        </w:rPr>
        <w:t>2</w:t>
      </w:r>
      <w:r w:rsidRPr="009B7FA3">
        <w:rPr>
          <w:rFonts w:ascii="Arial Narrow" w:hAnsi="Arial Narrow" w:cs="Arial"/>
          <w:b/>
          <w:bCs/>
        </w:rPr>
        <w:t xml:space="preserve">.- </w:t>
      </w:r>
      <w:r w:rsidRPr="009B7FA3">
        <w:rPr>
          <w:rFonts w:ascii="Arial Narrow" w:hAnsi="Arial Narrow" w:cs="Arial"/>
        </w:rPr>
        <w:t xml:space="preserve">Encárguese de la ejecución del presente Acuerdo a la Subsecretaría de Investigación, Innovación y Transferencia de Tecnología de la Secretaría de Educación Superior, Ciencia, Tecnología e Innovación. </w:t>
      </w:r>
    </w:p>
    <w:p w14:paraId="6FFB8598" w14:textId="77777777" w:rsidR="00E464A6" w:rsidRPr="009B7FA3" w:rsidRDefault="00E464A6" w:rsidP="009B7FA3">
      <w:pPr>
        <w:spacing w:line="276" w:lineRule="auto"/>
        <w:jc w:val="both"/>
        <w:rPr>
          <w:rFonts w:ascii="Arial Narrow" w:hAnsi="Arial Narrow" w:cs="Arial"/>
        </w:rPr>
      </w:pPr>
    </w:p>
    <w:p w14:paraId="1F40F967" w14:textId="3E0156FF" w:rsidR="00E464A6" w:rsidRPr="009B7FA3" w:rsidRDefault="00E464A6" w:rsidP="009B7FA3">
      <w:pPr>
        <w:spacing w:line="276" w:lineRule="auto"/>
        <w:jc w:val="both"/>
        <w:rPr>
          <w:rFonts w:ascii="Arial Narrow" w:hAnsi="Arial Narrow" w:cs="Arial"/>
        </w:rPr>
      </w:pPr>
      <w:r w:rsidRPr="009B7FA3">
        <w:rPr>
          <w:rFonts w:ascii="Arial Narrow" w:hAnsi="Arial Narrow" w:cs="Arial"/>
          <w:b/>
          <w:bCs/>
        </w:rPr>
        <w:t xml:space="preserve">Artículo </w:t>
      </w:r>
      <w:r w:rsidR="002F15B8">
        <w:rPr>
          <w:rFonts w:ascii="Arial Narrow" w:hAnsi="Arial Narrow" w:cs="Arial"/>
          <w:b/>
          <w:bCs/>
        </w:rPr>
        <w:t>3</w:t>
      </w:r>
      <w:r w:rsidRPr="009B7FA3">
        <w:rPr>
          <w:rFonts w:ascii="Arial Narrow" w:hAnsi="Arial Narrow" w:cs="Arial"/>
          <w:b/>
          <w:bCs/>
        </w:rPr>
        <w:t xml:space="preserve">.- </w:t>
      </w:r>
      <w:r w:rsidRPr="009B7FA3">
        <w:rPr>
          <w:rFonts w:ascii="Arial Narrow" w:hAnsi="Arial Narrow" w:cs="Arial"/>
        </w:rPr>
        <w:t>Notifíquese con el contenido del presente Acuerdo a la Subsecretaría General de Educación Superior, Ciencia, Tecnología e Innovación, así como a la Coordinación Administrativa Financiera de esta Secretaría de Estado.</w:t>
      </w:r>
    </w:p>
    <w:p w14:paraId="1AACAE86" w14:textId="77777777" w:rsidR="00E464A6" w:rsidRPr="009B7FA3" w:rsidRDefault="00E464A6" w:rsidP="009B7FA3">
      <w:pPr>
        <w:spacing w:line="276" w:lineRule="auto"/>
        <w:jc w:val="both"/>
        <w:rPr>
          <w:rFonts w:ascii="Arial Narrow" w:hAnsi="Arial Narrow" w:cs="Arial"/>
        </w:rPr>
      </w:pPr>
    </w:p>
    <w:p w14:paraId="6DB016CE" w14:textId="676E064A" w:rsidR="00E464A6" w:rsidRPr="009B7FA3" w:rsidRDefault="002F15B8" w:rsidP="009B7FA3">
      <w:pPr>
        <w:spacing w:line="276" w:lineRule="auto"/>
        <w:jc w:val="both"/>
        <w:rPr>
          <w:rFonts w:ascii="Arial Narrow" w:hAnsi="Arial Narrow" w:cs="Arial"/>
        </w:rPr>
      </w:pPr>
      <w:r>
        <w:rPr>
          <w:rFonts w:ascii="Arial Narrow" w:hAnsi="Arial Narrow" w:cs="Arial"/>
          <w:b/>
          <w:bCs/>
        </w:rPr>
        <w:t>Artículo 4</w:t>
      </w:r>
      <w:r w:rsidR="00E464A6" w:rsidRPr="009B7FA3">
        <w:rPr>
          <w:rFonts w:ascii="Arial Narrow" w:hAnsi="Arial Narrow" w:cs="Arial"/>
          <w:b/>
          <w:bCs/>
        </w:rPr>
        <w:t xml:space="preserve">.- </w:t>
      </w:r>
      <w:r w:rsidR="00E464A6" w:rsidRPr="009B7FA3">
        <w:rPr>
          <w:rFonts w:ascii="Arial Narrow" w:hAnsi="Arial Narrow" w:cs="Arial"/>
        </w:rPr>
        <w:t>Encárguese de la notificación del presente Acuerdo a la Coordinación General de Asesoría Jurídica de esta Secretaría.</w:t>
      </w:r>
    </w:p>
    <w:p w14:paraId="1767CBA8" w14:textId="77777777" w:rsidR="00E464A6" w:rsidRPr="009B7FA3" w:rsidRDefault="00E464A6" w:rsidP="009B7FA3">
      <w:pPr>
        <w:spacing w:line="276" w:lineRule="auto"/>
        <w:jc w:val="both"/>
        <w:rPr>
          <w:rFonts w:ascii="Arial Narrow" w:hAnsi="Arial Narrow" w:cs="Arial"/>
        </w:rPr>
      </w:pPr>
    </w:p>
    <w:p w14:paraId="03FCB863" w14:textId="6FA69330" w:rsidR="00E464A6" w:rsidRPr="009B7FA3" w:rsidRDefault="002F15B8" w:rsidP="009B7FA3">
      <w:pPr>
        <w:spacing w:line="276" w:lineRule="auto"/>
        <w:jc w:val="both"/>
        <w:rPr>
          <w:rFonts w:ascii="Arial Narrow" w:hAnsi="Arial Narrow" w:cs="Arial"/>
        </w:rPr>
      </w:pPr>
      <w:r>
        <w:rPr>
          <w:rFonts w:ascii="Arial Narrow" w:hAnsi="Arial Narrow" w:cs="Arial"/>
          <w:b/>
          <w:bCs/>
        </w:rPr>
        <w:t>Artículo 5</w:t>
      </w:r>
      <w:r w:rsidR="00E464A6" w:rsidRPr="009B7FA3">
        <w:rPr>
          <w:rFonts w:ascii="Arial Narrow" w:hAnsi="Arial Narrow" w:cs="Arial"/>
          <w:b/>
          <w:bCs/>
        </w:rPr>
        <w:t>.-</w:t>
      </w:r>
      <w:r w:rsidR="00E464A6" w:rsidRPr="009B7FA3">
        <w:rPr>
          <w:rFonts w:ascii="Arial Narrow" w:hAnsi="Arial Narrow" w:cs="Arial"/>
        </w:rPr>
        <w:t xml:space="preserve"> Publíquese el presente Acuerdo en la página web institucional de la Secretaría de Educación Superior, Ciencia, Tecnología e Innovación.</w:t>
      </w:r>
    </w:p>
    <w:p w14:paraId="113A64F7" w14:textId="77777777" w:rsidR="00E464A6" w:rsidRPr="009B7FA3" w:rsidRDefault="00E464A6" w:rsidP="009B7FA3">
      <w:pPr>
        <w:spacing w:line="276" w:lineRule="auto"/>
        <w:jc w:val="both"/>
        <w:rPr>
          <w:rFonts w:ascii="Arial Narrow" w:hAnsi="Arial Narrow" w:cs="Arial"/>
        </w:rPr>
      </w:pPr>
    </w:p>
    <w:p w14:paraId="084017A6" w14:textId="409EE503" w:rsidR="00E464A6" w:rsidRPr="009B7FA3" w:rsidRDefault="002F15B8" w:rsidP="009B7FA3">
      <w:pPr>
        <w:spacing w:line="276" w:lineRule="auto"/>
        <w:jc w:val="both"/>
        <w:rPr>
          <w:rFonts w:ascii="Arial Narrow" w:hAnsi="Arial Narrow" w:cs="Arial"/>
        </w:rPr>
      </w:pPr>
      <w:r>
        <w:rPr>
          <w:rFonts w:ascii="Arial Narrow" w:hAnsi="Arial Narrow" w:cs="Arial"/>
          <w:b/>
          <w:bCs/>
        </w:rPr>
        <w:t>Artículo 6</w:t>
      </w:r>
      <w:r w:rsidR="00E464A6" w:rsidRPr="009B7FA3">
        <w:rPr>
          <w:rFonts w:ascii="Arial Narrow" w:hAnsi="Arial Narrow" w:cs="Arial"/>
          <w:b/>
          <w:bCs/>
        </w:rPr>
        <w:t xml:space="preserve">.- </w:t>
      </w:r>
      <w:r w:rsidR="00E464A6" w:rsidRPr="009B7FA3">
        <w:rPr>
          <w:rFonts w:ascii="Arial Narrow" w:hAnsi="Arial Narrow" w:cs="Arial"/>
        </w:rPr>
        <w:t>El presente Acuerdo entrará en vigencia a partir de su suscripción, sin perjuicio de su publicación en el Registro Oficial.</w:t>
      </w:r>
    </w:p>
    <w:p w14:paraId="1DD7EC76" w14:textId="77777777" w:rsidR="00E464A6" w:rsidRPr="009B7FA3" w:rsidRDefault="00E464A6" w:rsidP="009B7FA3">
      <w:pPr>
        <w:spacing w:line="276" w:lineRule="auto"/>
        <w:jc w:val="both"/>
        <w:rPr>
          <w:rFonts w:ascii="Arial Narrow" w:hAnsi="Arial Narrow" w:cs="Arial"/>
        </w:rPr>
      </w:pPr>
    </w:p>
    <w:p w14:paraId="7F972455" w14:textId="4DEC52F8" w:rsidR="00E464A6" w:rsidRPr="009B7FA3" w:rsidRDefault="00E464A6" w:rsidP="009B7FA3">
      <w:pPr>
        <w:spacing w:line="276" w:lineRule="auto"/>
        <w:jc w:val="both"/>
        <w:rPr>
          <w:rFonts w:ascii="Arial Narrow" w:hAnsi="Arial Narrow" w:cs="Arial"/>
        </w:rPr>
      </w:pPr>
      <w:r w:rsidRPr="009B7FA3">
        <w:rPr>
          <w:rFonts w:ascii="Arial Narrow" w:hAnsi="Arial Narrow" w:cs="Arial"/>
        </w:rPr>
        <w:t xml:space="preserve">Dado en la ciudad de Quito, Distrito Metropolitano, a los </w:t>
      </w:r>
      <w:r w:rsidRPr="009B7FA3">
        <w:rPr>
          <w:rFonts w:ascii="Arial Narrow" w:hAnsi="Arial Narrow" w:cs="Arial"/>
          <w:highlight w:val="yellow"/>
        </w:rPr>
        <w:t xml:space="preserve">XXXXXXX (xx) días del mes de XXXXX de </w:t>
      </w:r>
      <w:r w:rsidR="002F15B8">
        <w:rPr>
          <w:rFonts w:ascii="Arial Narrow" w:hAnsi="Arial Narrow" w:cs="Arial"/>
          <w:highlight w:val="yellow"/>
        </w:rPr>
        <w:t>2024</w:t>
      </w:r>
      <w:r w:rsidRPr="009B7FA3">
        <w:rPr>
          <w:rFonts w:ascii="Arial Narrow" w:hAnsi="Arial Narrow" w:cs="Arial"/>
          <w:highlight w:val="yellow"/>
        </w:rPr>
        <w:t>.</w:t>
      </w:r>
    </w:p>
    <w:p w14:paraId="6459DD4B" w14:textId="77777777" w:rsidR="00E464A6" w:rsidRPr="009B7FA3" w:rsidRDefault="00E464A6" w:rsidP="009B7FA3">
      <w:pPr>
        <w:spacing w:line="276" w:lineRule="auto"/>
        <w:jc w:val="both"/>
        <w:rPr>
          <w:rFonts w:ascii="Arial Narrow" w:hAnsi="Arial Narrow" w:cs="Arial"/>
        </w:rPr>
      </w:pPr>
    </w:p>
    <w:p w14:paraId="3DB99DD8" w14:textId="289F77EE" w:rsidR="00E464A6" w:rsidRPr="009B7FA3" w:rsidRDefault="00E464A6" w:rsidP="009B7FA3">
      <w:pPr>
        <w:spacing w:line="276" w:lineRule="auto"/>
        <w:jc w:val="both"/>
        <w:rPr>
          <w:rFonts w:ascii="Arial Narrow" w:hAnsi="Arial Narrow" w:cs="Arial"/>
        </w:rPr>
      </w:pPr>
      <w:r w:rsidRPr="009B7FA3">
        <w:rPr>
          <w:rFonts w:ascii="Arial Narrow" w:hAnsi="Arial Narrow" w:cs="Arial"/>
        </w:rPr>
        <w:t xml:space="preserve">Notifíquese y publíquese.- </w:t>
      </w:r>
    </w:p>
    <w:p w14:paraId="51B239EF" w14:textId="77777777" w:rsidR="00E464A6" w:rsidRDefault="00E464A6" w:rsidP="009B7FA3">
      <w:pPr>
        <w:spacing w:line="276" w:lineRule="auto"/>
        <w:jc w:val="both"/>
        <w:rPr>
          <w:rFonts w:ascii="Arial Narrow" w:hAnsi="Arial Narrow" w:cs="Arial"/>
        </w:rPr>
      </w:pPr>
    </w:p>
    <w:p w14:paraId="461EDF2B" w14:textId="77777777" w:rsidR="00EF2D26" w:rsidRDefault="00EF2D26" w:rsidP="009B7FA3">
      <w:pPr>
        <w:spacing w:line="276" w:lineRule="auto"/>
        <w:jc w:val="both"/>
        <w:rPr>
          <w:rFonts w:ascii="Arial Narrow" w:hAnsi="Arial Narrow" w:cs="Arial"/>
        </w:rPr>
      </w:pPr>
    </w:p>
    <w:p w14:paraId="29645CEC" w14:textId="77777777" w:rsidR="00EF2D26" w:rsidRPr="009B7FA3" w:rsidRDefault="00EF2D26" w:rsidP="009B7FA3">
      <w:pPr>
        <w:spacing w:line="276" w:lineRule="auto"/>
        <w:jc w:val="both"/>
        <w:rPr>
          <w:rFonts w:ascii="Arial Narrow" w:hAnsi="Arial Narrow" w:cs="Arial"/>
        </w:rPr>
      </w:pPr>
    </w:p>
    <w:p w14:paraId="4B776BE8" w14:textId="77777777" w:rsidR="002F15B8" w:rsidRDefault="002F15B8" w:rsidP="002F15B8">
      <w:pPr>
        <w:spacing w:line="276" w:lineRule="auto"/>
        <w:jc w:val="center"/>
        <w:rPr>
          <w:rFonts w:ascii="Arial Narrow" w:hAnsi="Arial Narrow" w:cs="Arial"/>
        </w:rPr>
      </w:pPr>
      <w:r w:rsidRPr="002F15B8">
        <w:rPr>
          <w:rFonts w:ascii="Arial Narrow" w:hAnsi="Arial Narrow" w:cs="Arial"/>
        </w:rPr>
        <w:t>CÉSAR AUGUSTO VÁSQUEZ MONCAYO</w:t>
      </w:r>
    </w:p>
    <w:p w14:paraId="2783A587" w14:textId="0E076826" w:rsidR="00E464A6" w:rsidRPr="009B7FA3" w:rsidRDefault="002F15B8" w:rsidP="002F15B8">
      <w:pPr>
        <w:spacing w:line="276" w:lineRule="auto"/>
        <w:jc w:val="center"/>
        <w:rPr>
          <w:rFonts w:ascii="Arial Narrow" w:hAnsi="Arial Narrow" w:cs="Arial"/>
          <w:b/>
          <w:bCs/>
        </w:rPr>
      </w:pPr>
      <w:r>
        <w:rPr>
          <w:rFonts w:ascii="Arial Narrow" w:hAnsi="Arial Narrow" w:cs="Arial"/>
          <w:b/>
          <w:bCs/>
        </w:rPr>
        <w:t>SECRETARIO</w:t>
      </w:r>
      <w:r w:rsidR="00E464A6" w:rsidRPr="009B7FA3">
        <w:rPr>
          <w:rFonts w:ascii="Arial Narrow" w:hAnsi="Arial Narrow" w:cs="Arial"/>
          <w:b/>
          <w:bCs/>
        </w:rPr>
        <w:t xml:space="preserve"> DE EDUCACIÓN SUPERIOR, CIENCIA, TECNOLOGÍA E INNOVACIÓN</w:t>
      </w:r>
      <w:r>
        <w:rPr>
          <w:rFonts w:ascii="Arial Narrow" w:hAnsi="Arial Narrow" w:cs="Arial"/>
          <w:b/>
          <w:bCs/>
        </w:rPr>
        <w:t xml:space="preserve"> (Encargado)</w:t>
      </w:r>
    </w:p>
    <w:p w14:paraId="0071E105" w14:textId="77777777" w:rsidR="00E464A6" w:rsidRPr="009B7FA3" w:rsidRDefault="00E464A6" w:rsidP="009B7FA3">
      <w:pPr>
        <w:spacing w:before="120" w:after="120" w:line="276" w:lineRule="auto"/>
        <w:jc w:val="both"/>
        <w:rPr>
          <w:rFonts w:ascii="Arial Narrow" w:hAnsi="Arial Narrow"/>
        </w:rPr>
      </w:pPr>
    </w:p>
    <w:p w14:paraId="78D6CAA6" w14:textId="77777777" w:rsidR="00202EFE" w:rsidRPr="009B7FA3" w:rsidRDefault="00202EFE" w:rsidP="009B7FA3">
      <w:pPr>
        <w:jc w:val="both"/>
        <w:rPr>
          <w:rFonts w:ascii="Arial Narrow" w:hAnsi="Arial Narrow"/>
        </w:rPr>
      </w:pPr>
    </w:p>
    <w:sectPr w:rsidR="00202EFE" w:rsidRPr="009B7FA3" w:rsidSect="00213EC7">
      <w:headerReference w:type="default" r:id="rId7"/>
      <w:pgSz w:w="11906" w:h="16838"/>
      <w:pgMar w:top="2155" w:right="1701" w:bottom="215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6AE62" w14:textId="77777777" w:rsidR="009A3083" w:rsidRDefault="009A3083" w:rsidP="00D25541">
      <w:r>
        <w:separator/>
      </w:r>
    </w:p>
  </w:endnote>
  <w:endnote w:type="continuationSeparator" w:id="0">
    <w:p w14:paraId="3C496E84" w14:textId="77777777" w:rsidR="009A3083" w:rsidRDefault="009A3083" w:rsidP="00D2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58C02" w14:textId="77777777" w:rsidR="009A3083" w:rsidRDefault="009A3083" w:rsidP="00D25541">
      <w:r>
        <w:separator/>
      </w:r>
    </w:p>
  </w:footnote>
  <w:footnote w:type="continuationSeparator" w:id="0">
    <w:p w14:paraId="596471DB" w14:textId="77777777" w:rsidR="009A3083" w:rsidRDefault="009A3083" w:rsidP="00D25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DD06E" w14:textId="0546F309" w:rsidR="00D25541" w:rsidRPr="009B7FA3" w:rsidRDefault="00202EFE" w:rsidP="009B7FA3">
    <w:pPr>
      <w:pStyle w:val="Encabezado"/>
      <w:jc w:val="right"/>
      <w:rPr>
        <w:rFonts w:cs="Calibri"/>
        <w:b/>
        <w:i/>
        <w:iCs/>
      </w:rPr>
    </w:pPr>
    <w:r>
      <w:rPr>
        <w:noProof/>
        <w:lang w:val="es-EC" w:eastAsia="es-EC"/>
      </w:rPr>
      <w:drawing>
        <wp:anchor distT="0" distB="0" distL="114300" distR="114300" simplePos="0" relativeHeight="251658240" behindDoc="1" locked="0" layoutInCell="1" allowOverlap="1" wp14:anchorId="6B6616D9" wp14:editId="74D30B76">
          <wp:simplePos x="0" y="0"/>
          <wp:positionH relativeFrom="margin">
            <wp:posOffset>-1268910</wp:posOffset>
          </wp:positionH>
          <wp:positionV relativeFrom="paragraph">
            <wp:posOffset>-489793</wp:posOffset>
          </wp:positionV>
          <wp:extent cx="7570676" cy="1071346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email">
                    <a:extLst>
                      <a:ext uri="{28A0092B-C50C-407E-A947-70E740481C1C}">
                        <a14:useLocalDpi xmlns:a14="http://schemas.microsoft.com/office/drawing/2010/main"/>
                      </a:ext>
                    </a:extLst>
                  </a:blip>
                  <a:stretch>
                    <a:fillRect/>
                  </a:stretch>
                </pic:blipFill>
                <pic:spPr>
                  <a:xfrm>
                    <a:off x="0" y="0"/>
                    <a:ext cx="7570676" cy="107134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4F56"/>
    <w:multiLevelType w:val="multilevel"/>
    <w:tmpl w:val="9300EFB8"/>
    <w:lvl w:ilvl="0">
      <w:start w:val="1"/>
      <w:numFmt w:val="decimal"/>
      <w:lvlText w:val="%1."/>
      <w:lvlJc w:val="left"/>
      <w:pPr>
        <w:ind w:left="360" w:hanging="360"/>
      </w:pPr>
      <w:rPr>
        <w:rFonts w:ascii="Arial Narrow" w:hAnsi="Arial Narrow" w:hint="default"/>
        <w:i w:val="0"/>
        <w:sz w:val="24"/>
      </w:rPr>
    </w:lvl>
    <w:lvl w:ilvl="1">
      <w:start w:val="1"/>
      <w:numFmt w:val="decimal"/>
      <w:lvlText w:val="%1.%2."/>
      <w:lvlJc w:val="left"/>
      <w:pPr>
        <w:ind w:left="360" w:hanging="360"/>
      </w:pPr>
      <w:rPr>
        <w:rFonts w:ascii="Arial Narrow" w:hAnsi="Arial Narrow" w:hint="default"/>
        <w:i w:val="0"/>
        <w:sz w:val="24"/>
      </w:rPr>
    </w:lvl>
    <w:lvl w:ilvl="2">
      <w:start w:val="1"/>
      <w:numFmt w:val="decimal"/>
      <w:lvlText w:val="%1.%2.%3."/>
      <w:lvlJc w:val="left"/>
      <w:pPr>
        <w:ind w:left="720" w:hanging="720"/>
      </w:pPr>
      <w:rPr>
        <w:rFonts w:ascii="Arial Narrow" w:hAnsi="Arial Narrow" w:hint="default"/>
        <w:i w:val="0"/>
        <w:sz w:val="24"/>
      </w:rPr>
    </w:lvl>
    <w:lvl w:ilvl="3">
      <w:start w:val="1"/>
      <w:numFmt w:val="decimal"/>
      <w:lvlText w:val="%1.%2.%3.%4."/>
      <w:lvlJc w:val="left"/>
      <w:pPr>
        <w:ind w:left="720" w:hanging="720"/>
      </w:pPr>
      <w:rPr>
        <w:rFonts w:ascii="Arial Narrow" w:hAnsi="Arial Narrow" w:hint="default"/>
        <w:i w:val="0"/>
        <w:sz w:val="24"/>
      </w:rPr>
    </w:lvl>
    <w:lvl w:ilvl="4">
      <w:start w:val="1"/>
      <w:numFmt w:val="decimal"/>
      <w:lvlText w:val="%1.%2.%3.%4.%5."/>
      <w:lvlJc w:val="left"/>
      <w:pPr>
        <w:ind w:left="1080" w:hanging="1080"/>
      </w:pPr>
      <w:rPr>
        <w:rFonts w:ascii="Arial Narrow" w:hAnsi="Arial Narrow" w:hint="default"/>
        <w:i w:val="0"/>
        <w:sz w:val="24"/>
      </w:rPr>
    </w:lvl>
    <w:lvl w:ilvl="5">
      <w:start w:val="1"/>
      <w:numFmt w:val="decimal"/>
      <w:lvlText w:val="%1.%2.%3.%4.%5.%6."/>
      <w:lvlJc w:val="left"/>
      <w:pPr>
        <w:ind w:left="1080" w:hanging="1080"/>
      </w:pPr>
      <w:rPr>
        <w:rFonts w:ascii="Arial Narrow" w:hAnsi="Arial Narrow" w:hint="default"/>
        <w:i w:val="0"/>
        <w:sz w:val="24"/>
      </w:rPr>
    </w:lvl>
    <w:lvl w:ilvl="6">
      <w:start w:val="1"/>
      <w:numFmt w:val="decimal"/>
      <w:lvlText w:val="%1.%2.%3.%4.%5.%6.%7."/>
      <w:lvlJc w:val="left"/>
      <w:pPr>
        <w:ind w:left="1440" w:hanging="1440"/>
      </w:pPr>
      <w:rPr>
        <w:rFonts w:ascii="Arial Narrow" w:hAnsi="Arial Narrow" w:hint="default"/>
        <w:i w:val="0"/>
        <w:sz w:val="24"/>
      </w:rPr>
    </w:lvl>
    <w:lvl w:ilvl="7">
      <w:start w:val="1"/>
      <w:numFmt w:val="decimal"/>
      <w:lvlText w:val="%1.%2.%3.%4.%5.%6.%7.%8."/>
      <w:lvlJc w:val="left"/>
      <w:pPr>
        <w:ind w:left="1440" w:hanging="1440"/>
      </w:pPr>
      <w:rPr>
        <w:rFonts w:ascii="Arial Narrow" w:hAnsi="Arial Narrow" w:hint="default"/>
        <w:i w:val="0"/>
        <w:sz w:val="24"/>
      </w:rPr>
    </w:lvl>
    <w:lvl w:ilvl="8">
      <w:start w:val="1"/>
      <w:numFmt w:val="decimal"/>
      <w:lvlText w:val="%1.%2.%3.%4.%5.%6.%7.%8.%9."/>
      <w:lvlJc w:val="left"/>
      <w:pPr>
        <w:ind w:left="1800" w:hanging="1800"/>
      </w:pPr>
      <w:rPr>
        <w:rFonts w:ascii="Arial Narrow" w:hAnsi="Arial Narrow" w:hint="default"/>
        <w:i w:val="0"/>
        <w:sz w:val="24"/>
      </w:rPr>
    </w:lvl>
  </w:abstractNum>
  <w:abstractNum w:abstractNumId="1">
    <w:nsid w:val="165572E5"/>
    <w:multiLevelType w:val="hybridMultilevel"/>
    <w:tmpl w:val="288E4454"/>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nsid w:val="239A0195"/>
    <w:multiLevelType w:val="hybridMultilevel"/>
    <w:tmpl w:val="BEA0A678"/>
    <w:lvl w:ilvl="0" w:tplc="1980A9A2">
      <w:start w:val="1"/>
      <w:numFmt w:val="upperLetter"/>
      <w:lvlText w:val="%1."/>
      <w:lvlJc w:val="left"/>
      <w:pPr>
        <w:ind w:left="360" w:hanging="360"/>
      </w:pPr>
      <w:rPr>
        <w:b/>
        <w:bCs/>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nsid w:val="31B77D88"/>
    <w:multiLevelType w:val="hybridMultilevel"/>
    <w:tmpl w:val="5D504A9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nsid w:val="347C32C1"/>
    <w:multiLevelType w:val="multilevel"/>
    <w:tmpl w:val="A97CA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AB7FFC"/>
    <w:multiLevelType w:val="hybridMultilevel"/>
    <w:tmpl w:val="5CF0F7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4E765A85"/>
    <w:multiLevelType w:val="hybridMultilevel"/>
    <w:tmpl w:val="636A55AA"/>
    <w:lvl w:ilvl="0" w:tplc="300A0001">
      <w:start w:val="1"/>
      <w:numFmt w:val="bullet"/>
      <w:lvlText w:val=""/>
      <w:lvlJc w:val="left"/>
      <w:pPr>
        <w:ind w:left="360" w:hanging="360"/>
      </w:pPr>
      <w:rPr>
        <w:rFonts w:ascii="Symbol" w:hAnsi="Symbol" w:hint="default"/>
      </w:rPr>
    </w:lvl>
    <w:lvl w:ilvl="1" w:tplc="1680B280">
      <w:numFmt w:val="bullet"/>
      <w:lvlText w:val="•"/>
      <w:lvlJc w:val="left"/>
      <w:pPr>
        <w:ind w:left="1080" w:hanging="360"/>
      </w:pPr>
      <w:rPr>
        <w:rFonts w:ascii="Calibri" w:eastAsiaTheme="minorHAnsi" w:hAnsi="Calibri" w:cs="Calibri"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nsid w:val="4FA061FB"/>
    <w:multiLevelType w:val="hybridMultilevel"/>
    <w:tmpl w:val="76B2FF46"/>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60CF34AF"/>
    <w:multiLevelType w:val="hybridMultilevel"/>
    <w:tmpl w:val="B88C5D42"/>
    <w:lvl w:ilvl="0" w:tplc="0C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69094232"/>
    <w:multiLevelType w:val="multilevel"/>
    <w:tmpl w:val="17E6421E"/>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8"/>
  </w:num>
  <w:num w:numId="3">
    <w:abstractNumId w:val="2"/>
  </w:num>
  <w:num w:numId="4">
    <w:abstractNumId w:val="6"/>
  </w:num>
  <w:num w:numId="5">
    <w:abstractNumId w:val="1"/>
  </w:num>
  <w:num w:numId="6">
    <w:abstractNumId w:val="3"/>
  </w:num>
  <w:num w:numId="7">
    <w:abstractNumId w:val="7"/>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41"/>
    <w:rsid w:val="00057C1C"/>
    <w:rsid w:val="00120D9D"/>
    <w:rsid w:val="00174466"/>
    <w:rsid w:val="001B40DE"/>
    <w:rsid w:val="001B4724"/>
    <w:rsid w:val="00202EFE"/>
    <w:rsid w:val="00213EC7"/>
    <w:rsid w:val="002201BE"/>
    <w:rsid w:val="002E25B7"/>
    <w:rsid w:val="002E29E8"/>
    <w:rsid w:val="002F15B8"/>
    <w:rsid w:val="00490381"/>
    <w:rsid w:val="005A5D0D"/>
    <w:rsid w:val="007109C2"/>
    <w:rsid w:val="007D491F"/>
    <w:rsid w:val="007E045C"/>
    <w:rsid w:val="008B1123"/>
    <w:rsid w:val="0095443D"/>
    <w:rsid w:val="009649C2"/>
    <w:rsid w:val="00987C99"/>
    <w:rsid w:val="009904F2"/>
    <w:rsid w:val="009A3083"/>
    <w:rsid w:val="009B7FA3"/>
    <w:rsid w:val="00A12BCD"/>
    <w:rsid w:val="00AB17CD"/>
    <w:rsid w:val="00B35823"/>
    <w:rsid w:val="00B36563"/>
    <w:rsid w:val="00B64642"/>
    <w:rsid w:val="00B677FC"/>
    <w:rsid w:val="00C23564"/>
    <w:rsid w:val="00C269AE"/>
    <w:rsid w:val="00C34855"/>
    <w:rsid w:val="00CB3823"/>
    <w:rsid w:val="00D14E01"/>
    <w:rsid w:val="00D25541"/>
    <w:rsid w:val="00E03196"/>
    <w:rsid w:val="00E464A6"/>
    <w:rsid w:val="00EF2D26"/>
    <w:rsid w:val="00EF79AB"/>
    <w:rsid w:val="00F6579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FA1FC"/>
  <w15:chartTrackingRefBased/>
  <w15:docId w15:val="{FD07E69F-C069-884D-AC74-C9ABC038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2E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5541"/>
    <w:pPr>
      <w:tabs>
        <w:tab w:val="center" w:pos="4252"/>
        <w:tab w:val="right" w:pos="8504"/>
      </w:tabs>
    </w:pPr>
  </w:style>
  <w:style w:type="character" w:customStyle="1" w:styleId="EncabezadoCar">
    <w:name w:val="Encabezado Car"/>
    <w:basedOn w:val="Fuentedeprrafopredeter"/>
    <w:link w:val="Encabezado"/>
    <w:uiPriority w:val="99"/>
    <w:rsid w:val="00D25541"/>
  </w:style>
  <w:style w:type="paragraph" w:styleId="Piedepgina">
    <w:name w:val="footer"/>
    <w:basedOn w:val="Normal"/>
    <w:link w:val="PiedepginaCar"/>
    <w:uiPriority w:val="99"/>
    <w:unhideWhenUsed/>
    <w:rsid w:val="00D25541"/>
    <w:pPr>
      <w:tabs>
        <w:tab w:val="center" w:pos="4252"/>
        <w:tab w:val="right" w:pos="8504"/>
      </w:tabs>
    </w:pPr>
  </w:style>
  <w:style w:type="character" w:customStyle="1" w:styleId="PiedepginaCar">
    <w:name w:val="Pie de página Car"/>
    <w:basedOn w:val="Fuentedeprrafopredeter"/>
    <w:link w:val="Piedepgina"/>
    <w:uiPriority w:val="99"/>
    <w:rsid w:val="00D25541"/>
  </w:style>
  <w:style w:type="paragraph" w:styleId="NormalWeb">
    <w:name w:val="Normal (Web)"/>
    <w:basedOn w:val="Normal"/>
    <w:uiPriority w:val="99"/>
    <w:semiHidden/>
    <w:unhideWhenUsed/>
    <w:rsid w:val="00D25541"/>
    <w:pPr>
      <w:spacing w:before="100" w:beforeAutospacing="1" w:after="100" w:afterAutospacing="1"/>
    </w:pPr>
    <w:rPr>
      <w:rFonts w:ascii="Times New Roman" w:eastAsia="Times New Roman" w:hAnsi="Times New Roman" w:cs="Times New Roman"/>
      <w:lang w:eastAsia="es-ES_tradnl"/>
    </w:rPr>
  </w:style>
  <w:style w:type="table" w:styleId="Tablaconcuadrcula">
    <w:name w:val="Table Grid"/>
    <w:basedOn w:val="Tablanormal"/>
    <w:uiPriority w:val="39"/>
    <w:rsid w:val="00202EFE"/>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link w:val="PuestoCar"/>
    <w:uiPriority w:val="10"/>
    <w:qFormat/>
    <w:rsid w:val="00202EFE"/>
    <w:pPr>
      <w:jc w:val="center"/>
    </w:pPr>
    <w:rPr>
      <w:rFonts w:ascii="Times New Roman" w:eastAsia="Times New Roman" w:hAnsi="Times New Roman" w:cs="Times New Roman"/>
      <w:b/>
      <w:sz w:val="20"/>
      <w:szCs w:val="20"/>
      <w:u w:val="single"/>
      <w:lang w:val="es-PE" w:eastAsia="es-ES"/>
    </w:rPr>
  </w:style>
  <w:style w:type="character" w:customStyle="1" w:styleId="PuestoCar">
    <w:name w:val="Puesto Car"/>
    <w:basedOn w:val="Fuentedeprrafopredeter"/>
    <w:link w:val="Puesto"/>
    <w:uiPriority w:val="10"/>
    <w:rsid w:val="00202EFE"/>
    <w:rPr>
      <w:rFonts w:ascii="Times New Roman" w:eastAsia="Times New Roman" w:hAnsi="Times New Roman" w:cs="Times New Roman"/>
      <w:b/>
      <w:sz w:val="20"/>
      <w:szCs w:val="20"/>
      <w:u w:val="single"/>
      <w:lang w:val="es-PE" w:eastAsia="es-ES"/>
    </w:rPr>
  </w:style>
  <w:style w:type="character" w:customStyle="1" w:styleId="Ttulo1Car">
    <w:name w:val="Título 1 Car"/>
    <w:basedOn w:val="Fuentedeprrafopredeter"/>
    <w:link w:val="Ttulo1"/>
    <w:uiPriority w:val="9"/>
    <w:rsid w:val="00202EFE"/>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202EFE"/>
    <w:pPr>
      <w:spacing w:line="259" w:lineRule="auto"/>
      <w:outlineLvl w:val="9"/>
    </w:pPr>
    <w:rPr>
      <w:lang w:val="es-EC" w:eastAsia="es-EC"/>
    </w:rPr>
  </w:style>
  <w:style w:type="paragraph" w:styleId="TDC1">
    <w:name w:val="toc 1"/>
    <w:basedOn w:val="Normal"/>
    <w:next w:val="Normal"/>
    <w:autoRedefine/>
    <w:uiPriority w:val="39"/>
    <w:unhideWhenUsed/>
    <w:rsid w:val="00202EFE"/>
    <w:pPr>
      <w:spacing w:after="100"/>
      <w:jc w:val="both"/>
    </w:pPr>
    <w:rPr>
      <w:rFonts w:ascii="Arial Narrow" w:hAnsi="Arial Narrow"/>
      <w:szCs w:val="22"/>
      <w:lang w:val="es-EC"/>
    </w:rPr>
  </w:style>
  <w:style w:type="character" w:styleId="Hipervnculo">
    <w:name w:val="Hyperlink"/>
    <w:basedOn w:val="Fuentedeprrafopredeter"/>
    <w:uiPriority w:val="99"/>
    <w:unhideWhenUsed/>
    <w:rsid w:val="00202EFE"/>
    <w:rPr>
      <w:color w:val="0563C1" w:themeColor="hyperlink"/>
      <w:u w:val="single"/>
    </w:rPr>
  </w:style>
  <w:style w:type="paragraph" w:styleId="Prrafodelista">
    <w:name w:val="List Paragraph"/>
    <w:aliases w:val="Titulo parrafo,Texto,List Paragraph1,Párrafo de Viñeta,tEXTO,Capítulo,Titulo 1,List Paragraph,TIT 2 IND,Lista vistosa - Énfasis 11,Colorful List - Accent 11,Título 2.,Párrafo de lista SUBCAPITULO,AATITULO,Subtitulo1,INDICE,Titulo 2"/>
    <w:basedOn w:val="Normal"/>
    <w:link w:val="PrrafodelistaCar"/>
    <w:uiPriority w:val="34"/>
    <w:qFormat/>
    <w:rsid w:val="00202EFE"/>
    <w:pPr>
      <w:ind w:left="720"/>
      <w:contextualSpacing/>
      <w:jc w:val="both"/>
    </w:pPr>
    <w:rPr>
      <w:rFonts w:ascii="Arial Narrow" w:hAnsi="Arial Narrow"/>
      <w:szCs w:val="22"/>
      <w:lang w:val="es-EC"/>
    </w:rPr>
  </w:style>
  <w:style w:type="character" w:customStyle="1" w:styleId="PrrafodelistaCar">
    <w:name w:val="Párrafo de lista Car"/>
    <w:aliases w:val="Titulo parrafo Car,Texto Car,List Paragraph1 Car,Párrafo de Viñeta Car,tEXTO Car,Capítulo Car,Titulo 1 Car,List Paragraph Car,TIT 2 IND Car,Lista vistosa - Énfasis 11 Car,Colorful List - Accent 11 Car,Título 2. Car,AATITULO Car"/>
    <w:link w:val="Prrafodelista"/>
    <w:uiPriority w:val="34"/>
    <w:qFormat/>
    <w:locked/>
    <w:rsid w:val="00202EFE"/>
    <w:rPr>
      <w:rFonts w:ascii="Arial Narrow" w:hAnsi="Arial Narrow"/>
      <w:szCs w:val="22"/>
      <w:lang w:val="es-EC"/>
    </w:rPr>
  </w:style>
  <w:style w:type="paragraph" w:styleId="Descripcin">
    <w:name w:val="caption"/>
    <w:basedOn w:val="Normal"/>
    <w:next w:val="Normal"/>
    <w:uiPriority w:val="35"/>
    <w:unhideWhenUsed/>
    <w:qFormat/>
    <w:rsid w:val="00202EFE"/>
    <w:pPr>
      <w:spacing w:after="200"/>
      <w:jc w:val="both"/>
    </w:pPr>
    <w:rPr>
      <w:rFonts w:ascii="Arial Narrow" w:hAnsi="Arial Narrow"/>
      <w:i/>
      <w:iCs/>
      <w:color w:val="44546A" w:themeColor="text2"/>
      <w:sz w:val="18"/>
      <w:szCs w:val="18"/>
      <w:lang w:val="es-EC"/>
    </w:rPr>
  </w:style>
  <w:style w:type="paragraph" w:styleId="Textodeglobo">
    <w:name w:val="Balloon Text"/>
    <w:basedOn w:val="Normal"/>
    <w:link w:val="TextodegloboCar"/>
    <w:uiPriority w:val="99"/>
    <w:semiHidden/>
    <w:unhideWhenUsed/>
    <w:rsid w:val="004903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0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078018">
      <w:bodyDiv w:val="1"/>
      <w:marLeft w:val="0"/>
      <w:marRight w:val="0"/>
      <w:marTop w:val="0"/>
      <w:marBottom w:val="0"/>
      <w:divBdr>
        <w:top w:val="none" w:sz="0" w:space="0" w:color="auto"/>
        <w:left w:val="none" w:sz="0" w:space="0" w:color="auto"/>
        <w:bottom w:val="none" w:sz="0" w:space="0" w:color="auto"/>
        <w:right w:val="none" w:sz="0" w:space="0" w:color="auto"/>
      </w:divBdr>
      <w:divsChild>
        <w:div w:id="33785589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1886</Words>
  <Characters>10376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Ronny David Cruz Moya</cp:lastModifiedBy>
  <cp:revision>16</cp:revision>
  <dcterms:created xsi:type="dcterms:W3CDTF">2023-10-18T17:35:00Z</dcterms:created>
  <dcterms:modified xsi:type="dcterms:W3CDTF">2024-06-04T14:42:00Z</dcterms:modified>
</cp:coreProperties>
</file>